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B1640"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7"/>
          <w:szCs w:val="17"/>
          <w:lang w:eastAsia="es-CO"/>
        </w:rPr>
        <w:t>LEY ESTATUTARIA 1757 DE 2015</w:t>
      </w:r>
    </w:p>
    <w:p w14:paraId="18114BA7"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(julio 6)</w:t>
      </w:r>
    </w:p>
    <w:p w14:paraId="6A8FF432"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Diario Oficial No. 49.565 de 6 de julio de 2015</w:t>
      </w:r>
    </w:p>
    <w:p w14:paraId="2F981AA6"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CONGRESO DE LA REPÚBLICA</w:t>
      </w:r>
    </w:p>
    <w:p w14:paraId="79432F23"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Por la cual se dictan disposiciones en materia de promoción y protección del derecho a la participación democrática.</w:t>
      </w:r>
    </w:p>
    <w:p w14:paraId="217453F1"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4"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516B482D" w14:textId="77777777" w:rsidTr="00D042CB">
        <w:trPr>
          <w:tblCellSpacing w:w="15" w:type="dxa"/>
        </w:trPr>
        <w:tc>
          <w:tcPr>
            <w:tcW w:w="0" w:type="auto"/>
            <w:shd w:val="clear" w:color="auto" w:fill="E6E6E6"/>
            <w:vAlign w:val="center"/>
            <w:hideMark/>
          </w:tcPr>
          <w:p w14:paraId="06C512B4"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1BBCB673"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EL CONGRESO DE COLOMBIA</w:t>
      </w:r>
    </w:p>
    <w:p w14:paraId="31B013EC"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DECRETA:</w:t>
      </w:r>
    </w:p>
    <w:p w14:paraId="4AF91CC6"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bookmarkStart w:id="0" w:name="TÍTULO_I"/>
      <w:r w:rsidRPr="00D042CB">
        <w:rPr>
          <w:rFonts w:ascii="Arial" w:eastAsia="Times New Roman" w:hAnsi="Arial" w:cs="Arial"/>
          <w:b/>
          <w:bCs/>
          <w:color w:val="BE9E55"/>
          <w:sz w:val="18"/>
          <w:szCs w:val="18"/>
          <w:lang w:eastAsia="es-CO"/>
        </w:rPr>
        <w:t>TÍTULO I.</w:t>
      </w:r>
      <w:bookmarkEnd w:id="0"/>
    </w:p>
    <w:p w14:paraId="51D1C22D"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OBJETO.</w:t>
      </w:r>
    </w:p>
    <w:p w14:paraId="771327E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1" w:name="1"/>
      <w:r w:rsidRPr="00D042CB">
        <w:rPr>
          <w:rFonts w:ascii="Arial" w:eastAsia="Times New Roman" w:hAnsi="Arial" w:cs="Arial"/>
          <w:b/>
          <w:bCs/>
          <w:color w:val="BE9E55"/>
          <w:sz w:val="18"/>
          <w:szCs w:val="18"/>
          <w:lang w:eastAsia="es-CO"/>
        </w:rPr>
        <w:t>ARTÍCULO 1o. OBJETO.</w:t>
      </w:r>
      <w:bookmarkEnd w:id="1"/>
      <w:r w:rsidRPr="00D042CB">
        <w:rPr>
          <w:rFonts w:ascii="Arial" w:eastAsia="Times New Roman" w:hAnsi="Arial" w:cs="Arial"/>
          <w:color w:val="4B4949"/>
          <w:sz w:val="18"/>
          <w:szCs w:val="18"/>
          <w:lang w:eastAsia="es-CO"/>
        </w:rPr>
        <w:t> El objeto de la presente ley es promover, proteger y garantizar modalidades del derecho a participar en la vida política, administrativa, económica, social y cultural, y así mismo a controlar el poder político.</w:t>
      </w:r>
    </w:p>
    <w:p w14:paraId="34EF279B"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La presente ley regula la iniciativa popular y normativa ante las corporaciones públicas, el referendo, la consulta popular, la revocatoria del mandato, el plebiscito y el cabildo abierto; y establece las normas fundamentales por las que se regirá la participación democrática de las organizaciones civiles.</w:t>
      </w:r>
    </w:p>
    <w:p w14:paraId="55CF38D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La regulación de estos mecanismos no impedirá el desarrollo de otras formas de participación democrática en la vida política, económica, social y cultural, ni el ejercicio de otros derechos políticos no mencionados en esta ley.</w:t>
      </w:r>
    </w:p>
    <w:p w14:paraId="09C4F158"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5"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2BD6D650" w14:textId="77777777" w:rsidTr="00D042CB">
        <w:trPr>
          <w:tblCellSpacing w:w="15" w:type="dxa"/>
        </w:trPr>
        <w:tc>
          <w:tcPr>
            <w:tcW w:w="0" w:type="auto"/>
            <w:shd w:val="clear" w:color="auto" w:fill="E6E6E6"/>
            <w:vAlign w:val="center"/>
            <w:hideMark/>
          </w:tcPr>
          <w:p w14:paraId="636B70E4"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6BE87BB9" w14:textId="57004A83"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6"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3ABE5844" wp14:editId="00123ECF">
              <wp:simplePos x="0" y="0"/>
              <wp:positionH relativeFrom="column">
                <wp:align>left</wp:align>
              </wp:positionH>
              <wp:positionV relativeFrom="line">
                <wp:posOffset>0</wp:posOffset>
              </wp:positionV>
              <wp:extent cx="152400" cy="152400"/>
              <wp:effectExtent l="0" t="0" r="0" b="0"/>
              <wp:wrapSquare wrapText="bothSides"/>
              <wp:docPr id="40" name="Imagen 40"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0DF5F0B"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2" w:name="2"/>
      <w:r w:rsidRPr="00D042CB">
        <w:rPr>
          <w:rFonts w:ascii="Arial" w:eastAsia="Times New Roman" w:hAnsi="Arial" w:cs="Arial"/>
          <w:b/>
          <w:bCs/>
          <w:color w:val="BE9E55"/>
          <w:sz w:val="18"/>
          <w:szCs w:val="18"/>
          <w:lang w:eastAsia="es-CO"/>
        </w:rPr>
        <w:t>ARTÍCULO 2o. DE LA POLÍTICA PÚBLICA DE PARTICIPACIÓN DEMOCRÁTICA.</w:t>
      </w:r>
      <w:bookmarkEnd w:id="2"/>
      <w:r w:rsidRPr="00D042CB">
        <w:rPr>
          <w:rFonts w:ascii="Arial" w:eastAsia="Times New Roman" w:hAnsi="Arial" w:cs="Arial"/>
          <w:color w:val="4B4949"/>
          <w:sz w:val="18"/>
          <w:szCs w:val="18"/>
          <w:lang w:eastAsia="es-CO"/>
        </w:rPr>
        <w:t> Todo plan de desarrollo debe incluir medidas específicas orientadas a promover la participación de todas las personas en las decisiones que los afectan y el apoyo a las diferentes formas de organización de la sociedad. De igual manera los planes de gestión de las instituciones públicas harán explícita la forma como se facilitará y promoverá la participación de las personas en los asuntos de su competencia.</w:t>
      </w:r>
    </w:p>
    <w:p w14:paraId="244E0622"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Las discusiones que se realicen para la formulación de la política pública de participación democrática deberán realizarse en escenarios presenciales o a través de medios electrónicos, cuando sea posible, utilizando las tecnologías de la información y las comunicaciones.</w:t>
      </w:r>
    </w:p>
    <w:p w14:paraId="604E17B9"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9"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6D6A42B3" w14:textId="77777777" w:rsidTr="00D042CB">
        <w:trPr>
          <w:tblCellSpacing w:w="15" w:type="dxa"/>
        </w:trPr>
        <w:tc>
          <w:tcPr>
            <w:tcW w:w="0" w:type="auto"/>
            <w:shd w:val="clear" w:color="auto" w:fill="E6E6E6"/>
            <w:vAlign w:val="center"/>
            <w:hideMark/>
          </w:tcPr>
          <w:p w14:paraId="2EF0F816"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208DBDA6" w14:textId="1F6EAB99"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10"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334CFA27" wp14:editId="36BD839B">
              <wp:simplePos x="0" y="0"/>
              <wp:positionH relativeFrom="column">
                <wp:align>left</wp:align>
              </wp:positionH>
              <wp:positionV relativeFrom="line">
                <wp:posOffset>0</wp:posOffset>
              </wp:positionV>
              <wp:extent cx="152400" cy="152400"/>
              <wp:effectExtent l="0" t="0" r="0" b="0"/>
              <wp:wrapSquare wrapText="bothSides"/>
              <wp:docPr id="39" name="Imagen 39"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78B13D1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3" w:name="3"/>
      <w:r w:rsidRPr="00D042CB">
        <w:rPr>
          <w:rFonts w:ascii="Arial" w:eastAsia="Times New Roman" w:hAnsi="Arial" w:cs="Arial"/>
          <w:b/>
          <w:bCs/>
          <w:color w:val="BE9E55"/>
          <w:sz w:val="18"/>
          <w:szCs w:val="18"/>
          <w:lang w:eastAsia="es-CO"/>
        </w:rPr>
        <w:t>ARTÍCULO 3o. MECANISMOS DE PARTICIPACIÓN.</w:t>
      </w:r>
      <w:bookmarkEnd w:id="3"/>
      <w:r w:rsidRPr="00D042CB">
        <w:rPr>
          <w:rFonts w:ascii="Arial" w:eastAsia="Times New Roman" w:hAnsi="Arial" w:cs="Arial"/>
          <w:color w:val="4B4949"/>
          <w:sz w:val="18"/>
          <w:szCs w:val="18"/>
          <w:lang w:eastAsia="es-CO"/>
        </w:rPr>
        <w:t> Los mecanismos de participación ciudadana son de origen popular o de autoridad pública, según sean promovidos o presentados directamente mediante solicitud avalada por firmas ciudadanas o por autoridad pública en los términos de la presente ley.</w:t>
      </w:r>
    </w:p>
    <w:p w14:paraId="428115D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Son de origen popular la iniciativa popular legislativa y normativa ante las corporaciones públicas, el cabildo abierto y la revocatoria del mandato; es de origen en autoridad pública el plebiscito; y pueden tener origen en autoridad pública o popular el referendo y la consulta popular.</w:t>
      </w:r>
    </w:p>
    <w:p w14:paraId="6D2E959D"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La participación de la sociedad civil se expresa a través de aquellas instancias y mecanismos que permiten su intervención en la conformación, ejercicio y control de los asuntos públicos. Pueden tener su origen en la oferta institucional o en la iniciativa ciudadana.</w:t>
      </w:r>
    </w:p>
    <w:p w14:paraId="2F2EAC0F"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11"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023B85F0" w14:textId="77777777" w:rsidTr="00D042CB">
        <w:trPr>
          <w:tblCellSpacing w:w="15" w:type="dxa"/>
        </w:trPr>
        <w:tc>
          <w:tcPr>
            <w:tcW w:w="0" w:type="auto"/>
            <w:shd w:val="clear" w:color="auto" w:fill="E6E6E6"/>
            <w:vAlign w:val="center"/>
            <w:hideMark/>
          </w:tcPr>
          <w:p w14:paraId="2C8B9763"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408DFAEA"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bookmarkStart w:id="4" w:name="TÍTULO_II"/>
      <w:r w:rsidRPr="00D042CB">
        <w:rPr>
          <w:rFonts w:ascii="Arial" w:eastAsia="Times New Roman" w:hAnsi="Arial" w:cs="Arial"/>
          <w:b/>
          <w:bCs/>
          <w:color w:val="BE9E55"/>
          <w:sz w:val="18"/>
          <w:szCs w:val="18"/>
          <w:lang w:eastAsia="es-CO"/>
        </w:rPr>
        <w:t>TÍTULO II.</w:t>
      </w:r>
      <w:bookmarkEnd w:id="4"/>
    </w:p>
    <w:p w14:paraId="21DFBBBA"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DE LOS MECANISMOS DE PARTICIPACIÓN CIUDADANA.</w:t>
      </w:r>
    </w:p>
    <w:p w14:paraId="1F319B73"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bookmarkStart w:id="5" w:name="CAPÍTULO_I-II"/>
      <w:r w:rsidRPr="00D042CB">
        <w:rPr>
          <w:rFonts w:ascii="Arial" w:eastAsia="Times New Roman" w:hAnsi="Arial" w:cs="Arial"/>
          <w:b/>
          <w:bCs/>
          <w:color w:val="BE9E55"/>
          <w:sz w:val="18"/>
          <w:szCs w:val="18"/>
          <w:lang w:eastAsia="es-CO"/>
        </w:rPr>
        <w:t>CAPÍTULO I.</w:t>
      </w:r>
      <w:bookmarkEnd w:id="5"/>
    </w:p>
    <w:p w14:paraId="4D254C30"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REGLAS COMUNES A LOS MECANISMOS DE PARTICIPACIÓN CIUDADANA.</w:t>
      </w:r>
    </w:p>
    <w:p w14:paraId="2AE8BD3B" w14:textId="0E794532"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12"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2B256EA7" wp14:editId="65E7F39A">
              <wp:simplePos x="0" y="0"/>
              <wp:positionH relativeFrom="column">
                <wp:align>left</wp:align>
              </wp:positionH>
              <wp:positionV relativeFrom="line">
                <wp:posOffset>0</wp:posOffset>
              </wp:positionV>
              <wp:extent cx="152400" cy="152400"/>
              <wp:effectExtent l="0" t="0" r="0" b="0"/>
              <wp:wrapSquare wrapText="bothSides"/>
              <wp:docPr id="38" name="Imagen 38"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3DB05A93"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6" w:name="4"/>
      <w:r w:rsidRPr="00D042CB">
        <w:rPr>
          <w:rFonts w:ascii="Arial" w:eastAsia="Times New Roman" w:hAnsi="Arial" w:cs="Arial"/>
          <w:b/>
          <w:bCs/>
          <w:color w:val="BE9E55"/>
          <w:sz w:val="18"/>
          <w:szCs w:val="18"/>
          <w:lang w:eastAsia="es-CO"/>
        </w:rPr>
        <w:t>ARTÍCULO 4o. REGLAS COMUNES A LOS MECANISMOS DE PARTICIPACIÓN CIUDADANA DE ORIGEN POPULAR.</w:t>
      </w:r>
      <w:bookmarkEnd w:id="6"/>
      <w:r w:rsidRPr="00D042CB">
        <w:rPr>
          <w:rFonts w:ascii="Arial" w:eastAsia="Times New Roman" w:hAnsi="Arial" w:cs="Arial"/>
          <w:color w:val="4B4949"/>
          <w:sz w:val="18"/>
          <w:szCs w:val="18"/>
          <w:lang w:eastAsia="es-CO"/>
        </w:rPr>
        <w:t> Las reglas sobre inscripción y recolección de apoyos ciudadanos desarrolladas en este capítulo aplican para Referendos, Iniciativas Legislativas o Normativas, Consultas Populares de Origen Ciudadano y Revocatorias de Mandato, establecidos en esta ley.</w:t>
      </w:r>
    </w:p>
    <w:p w14:paraId="318F8096"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w:t>
      </w:r>
      <w:r w:rsidRPr="00D042CB">
        <w:rPr>
          <w:rFonts w:ascii="Arial" w:eastAsia="Times New Roman" w:hAnsi="Arial" w:cs="Arial"/>
          <w:color w:val="4B4949"/>
          <w:sz w:val="18"/>
          <w:szCs w:val="18"/>
          <w:lang w:eastAsia="es-CO"/>
        </w:rPr>
        <w:t> El cabildo abierto se regula por las normas especiales contenidas en la presente ley y no le serán aplicables las normas generales descritas para los otros mecanismos de participación.</w:t>
      </w:r>
    </w:p>
    <w:p w14:paraId="6944C365"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13"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07E38953" w14:textId="77777777" w:rsidTr="00D042CB">
        <w:trPr>
          <w:tblCellSpacing w:w="15" w:type="dxa"/>
        </w:trPr>
        <w:tc>
          <w:tcPr>
            <w:tcW w:w="0" w:type="auto"/>
            <w:shd w:val="clear" w:color="auto" w:fill="E6E6E6"/>
            <w:vAlign w:val="center"/>
            <w:hideMark/>
          </w:tcPr>
          <w:p w14:paraId="0E08EFC8"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3F17FB6F" w14:textId="1B032466"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14"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5612D741" wp14:editId="30FDFDEC">
              <wp:simplePos x="0" y="0"/>
              <wp:positionH relativeFrom="column">
                <wp:align>left</wp:align>
              </wp:positionH>
              <wp:positionV relativeFrom="line">
                <wp:posOffset>0</wp:posOffset>
              </wp:positionV>
              <wp:extent cx="152400" cy="152400"/>
              <wp:effectExtent l="0" t="0" r="0" b="0"/>
              <wp:wrapSquare wrapText="bothSides"/>
              <wp:docPr id="37" name="Imagen 37"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1615B9B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7" w:name="5"/>
      <w:r w:rsidRPr="00D042CB">
        <w:rPr>
          <w:rFonts w:ascii="Arial" w:eastAsia="Times New Roman" w:hAnsi="Arial" w:cs="Arial"/>
          <w:b/>
          <w:bCs/>
          <w:color w:val="BE9E55"/>
          <w:sz w:val="18"/>
          <w:szCs w:val="18"/>
          <w:lang w:eastAsia="es-CO"/>
        </w:rPr>
        <w:t>ARTÍCULO 5o. EL PROMOTOR Y EL COMITÉ PROMOTOR.</w:t>
      </w:r>
      <w:bookmarkEnd w:id="7"/>
      <w:r w:rsidRPr="00D042CB">
        <w:rPr>
          <w:rFonts w:ascii="Arial" w:eastAsia="Times New Roman" w:hAnsi="Arial" w:cs="Arial"/>
          <w:color w:val="4B4949"/>
          <w:sz w:val="18"/>
          <w:szCs w:val="18"/>
          <w:lang w:eastAsia="es-CO"/>
        </w:rPr>
        <w:t> Cualquier ciudadano, organización social, partido o movimiento político, podrá solicitar a la Registraduría del Estado Civil correspondiente su inscripción como promotor de un referendo, de una iniciativa legislativa y normativa, de una consulta popular de origen ciudadano o de una revocatoria de mandato.</w:t>
      </w:r>
    </w:p>
    <w:p w14:paraId="5A81E2D7"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lastRenderedPageBreak/>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que estará integrado por no menos de tres personas ni más de nueve.</w:t>
      </w:r>
    </w:p>
    <w:p w14:paraId="43E831A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Cuando el promotor sea un ciudadano, él mismo será el vocero de la iniciativa. Cuando se trate de una organización social, partido o movimiento político, el comité promotor designará un vocero.</w:t>
      </w:r>
    </w:p>
    <w:p w14:paraId="3DC52AC2"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w:t>
      </w:r>
      <w:r w:rsidRPr="00D042CB">
        <w:rPr>
          <w:rFonts w:ascii="Arial" w:eastAsia="Times New Roman" w:hAnsi="Arial" w:cs="Arial"/>
          <w:color w:val="4B4949"/>
          <w:sz w:val="18"/>
          <w:szCs w:val="18"/>
          <w:lang w:eastAsia="es-CO"/>
        </w:rPr>
        <w:t> Para todos los efectos legales, el vocero del comité promotor será el responsable de las actividades administrativas, financieras, de campaña de la iniciativa popular legislativa o normativa, así como la vocería durante el trámite del referendo, la consulta popular de origen ciudadano o de la revocatoria del mandato.</w:t>
      </w:r>
    </w:p>
    <w:p w14:paraId="50062792"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15"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198E7D51" w14:textId="77777777" w:rsidTr="00D042CB">
        <w:trPr>
          <w:tblCellSpacing w:w="15" w:type="dxa"/>
        </w:trPr>
        <w:tc>
          <w:tcPr>
            <w:tcW w:w="0" w:type="auto"/>
            <w:shd w:val="clear" w:color="auto" w:fill="E6E6E6"/>
            <w:vAlign w:val="center"/>
            <w:hideMark/>
          </w:tcPr>
          <w:p w14:paraId="1728F6BD"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0A6A38F0" w14:textId="3231D891"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16"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2BD8C99B" wp14:editId="29C2D353">
              <wp:simplePos x="0" y="0"/>
              <wp:positionH relativeFrom="column">
                <wp:align>left</wp:align>
              </wp:positionH>
              <wp:positionV relativeFrom="line">
                <wp:posOffset>0</wp:posOffset>
              </wp:positionV>
              <wp:extent cx="152400" cy="152400"/>
              <wp:effectExtent l="0" t="0" r="0" b="0"/>
              <wp:wrapSquare wrapText="bothSides"/>
              <wp:docPr id="36" name="Imagen 36"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816FE9E"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8" w:name="6"/>
      <w:r w:rsidRPr="00D042CB">
        <w:rPr>
          <w:rFonts w:ascii="Arial" w:eastAsia="Times New Roman" w:hAnsi="Arial" w:cs="Arial"/>
          <w:b/>
          <w:bCs/>
          <w:color w:val="BE9E55"/>
          <w:sz w:val="18"/>
          <w:szCs w:val="18"/>
          <w:lang w:eastAsia="es-CO"/>
        </w:rPr>
        <w:t>ARTÍCULO 6o. REQUISITOS PARA LA INSCRIPCIÓN DE MECANISMOS DE PARTICIPACIÓN CIUDADANA.</w:t>
      </w:r>
      <w:bookmarkEnd w:id="8"/>
      <w:r w:rsidRPr="00D042CB">
        <w:rPr>
          <w:rFonts w:ascii="Arial" w:eastAsia="Times New Roman" w:hAnsi="Arial" w:cs="Arial"/>
          <w:color w:val="4B4949"/>
          <w:sz w:val="18"/>
          <w:szCs w:val="18"/>
          <w:lang w:eastAsia="es-CO"/>
        </w:rPr>
        <w:t> En el momento de la inscripción, el promotor de cualquier mecanismo de participación ciudadana deberá diligenciar un formulario, diseñado por la Registraduría Nacional del Estado Civil, en el que como mínimo debe figurar la siguiente información:</w:t>
      </w:r>
    </w:p>
    <w:p w14:paraId="1532CC6B"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a) El nombre completo, el número del documento de identificación y la dirección de notificaciones del promotor o de los miembros del Comité promotor;</w:t>
      </w:r>
    </w:p>
    <w:p w14:paraId="58D8D04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b) El título que describa la propuesta de mecanismo de participación ciudadana;</w:t>
      </w:r>
    </w:p>
    <w:p w14:paraId="10BA2DF9"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c) La exposición de motivos que sustenta la propuesta;</w:t>
      </w:r>
    </w:p>
    <w:p w14:paraId="5182738F"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d) El proyecto de articulado, salvo en el caso de las propuestas de revocatoria de mandato.</w:t>
      </w:r>
    </w:p>
    <w:p w14:paraId="1498277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Inscrito un Comité promotor de un referendo, la Registraduría contará con un plazo de ocho (8) días para verificar el cumplimiento de los requisitos de la iniciativa, a partir del cual contará con un plazo de seis (6) meses para la recolección de los apoyos ciudadanos.</w:t>
      </w:r>
    </w:p>
    <w:p w14:paraId="2C2DE282"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 1o.</w:t>
      </w:r>
      <w:r w:rsidRPr="00D042CB">
        <w:rPr>
          <w:rFonts w:ascii="Arial" w:eastAsia="Times New Roman" w:hAnsi="Arial" w:cs="Arial"/>
          <w:color w:val="4B4949"/>
          <w:sz w:val="18"/>
          <w:szCs w:val="18"/>
          <w:lang w:eastAsia="es-CO"/>
        </w:rPr>
        <w:t> &lt;Aparte subrayado CONDICIONALMENTE exequible&gt; Se podrán inscribir iniciativas para la revocatoria del mandato siempre que hayan transcurrido doce (12) meses contados a partir del momento de posesión del respectivo alcalde o gobernador </w:t>
      </w:r>
      <w:r w:rsidRPr="00D042CB">
        <w:rPr>
          <w:rFonts w:ascii="Arial" w:eastAsia="Times New Roman" w:hAnsi="Arial" w:cs="Arial"/>
          <w:color w:val="4B4949"/>
          <w:sz w:val="18"/>
          <w:szCs w:val="18"/>
          <w:u w:val="single"/>
          <w:lang w:eastAsia="es-CO"/>
        </w:rPr>
        <w:t>y no faltare menos de un año para la finalización del respectivo periodo constitucional.</w:t>
      </w:r>
    </w:p>
    <w:p w14:paraId="7757618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 2o.</w:t>
      </w:r>
      <w:r w:rsidRPr="00D042CB">
        <w:rPr>
          <w:rFonts w:ascii="Arial" w:eastAsia="Times New Roman" w:hAnsi="Arial" w:cs="Arial"/>
          <w:color w:val="4B4949"/>
          <w:sz w:val="18"/>
          <w:szCs w:val="18"/>
          <w:lang w:eastAsia="es-CO"/>
        </w:rPr>
        <w:t> La inscripción de iniciativas podrá realizarse a través de medios electrónicos, en cuyo caso deberá utilizarse lenguaje estándar de intercambio de información en el formulario.</w:t>
      </w:r>
    </w:p>
    <w:p w14:paraId="6E446841"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17"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7BB8DA2C" w14:textId="77777777" w:rsidTr="00D042CB">
        <w:trPr>
          <w:tblCellSpacing w:w="15" w:type="dxa"/>
        </w:trPr>
        <w:tc>
          <w:tcPr>
            <w:tcW w:w="0" w:type="auto"/>
            <w:shd w:val="clear" w:color="auto" w:fill="E6E6E6"/>
            <w:vAlign w:val="center"/>
            <w:hideMark/>
          </w:tcPr>
          <w:p w14:paraId="51607016"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7D96D68C" w14:textId="75A91A5E"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18"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36BB15DA" wp14:editId="71EB9467">
              <wp:simplePos x="0" y="0"/>
              <wp:positionH relativeFrom="column">
                <wp:align>left</wp:align>
              </wp:positionH>
              <wp:positionV relativeFrom="line">
                <wp:posOffset>0</wp:posOffset>
              </wp:positionV>
              <wp:extent cx="152400" cy="152400"/>
              <wp:effectExtent l="0" t="0" r="0" b="0"/>
              <wp:wrapSquare wrapText="bothSides"/>
              <wp:docPr id="35" name="Imagen 35"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1EB1AFC6"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9" w:name="7"/>
      <w:r w:rsidRPr="00D042CB">
        <w:rPr>
          <w:rFonts w:ascii="Arial" w:eastAsia="Times New Roman" w:hAnsi="Arial" w:cs="Arial"/>
          <w:b/>
          <w:bCs/>
          <w:color w:val="BE9E55"/>
          <w:sz w:val="18"/>
          <w:szCs w:val="18"/>
          <w:lang w:eastAsia="es-CO"/>
        </w:rPr>
        <w:lastRenderedPageBreak/>
        <w:t>ARTÍCULO 7o. REGISTRO DE PROPUESTAS SOBRE MECANISMOS DE PARTICIPACIÓN CIUDADANA.</w:t>
      </w:r>
      <w:bookmarkEnd w:id="9"/>
      <w:r w:rsidRPr="00D042CB">
        <w:rPr>
          <w:rFonts w:ascii="Arial" w:eastAsia="Times New Roman" w:hAnsi="Arial" w:cs="Arial"/>
          <w:color w:val="4B4949"/>
          <w:sz w:val="18"/>
          <w:szCs w:val="18"/>
          <w:lang w:eastAsia="es-CO"/>
        </w:rPr>
        <w:t> El registrador correspondiente asignará un número consecutivo de identificación a las propuestas de origen popular sobre mecanismos de participación ciudadana, con el cual indicará el orden en que estos han sido inscritos y la fecha de su inscripción. En el registro se tendrá en cuenta si la propuesta hace referencia a la convocatoria a un referendo, a una iniciativa legislativa o normativa, a una consulta popular de origen ciudadano o a la revocatoria de un mandato, el cual será publicado en la página web de la entidad.</w:t>
      </w:r>
    </w:p>
    <w:p w14:paraId="21B0FC99"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19"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65B9E9A9" w14:textId="77777777" w:rsidTr="00D042CB">
        <w:trPr>
          <w:tblCellSpacing w:w="15" w:type="dxa"/>
        </w:trPr>
        <w:tc>
          <w:tcPr>
            <w:tcW w:w="0" w:type="auto"/>
            <w:shd w:val="clear" w:color="auto" w:fill="E6E6E6"/>
            <w:vAlign w:val="center"/>
            <w:hideMark/>
          </w:tcPr>
          <w:p w14:paraId="1DD73FDE"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2845D336" w14:textId="015514E1"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20"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42421E2B" wp14:editId="49BD6193">
              <wp:simplePos x="0" y="0"/>
              <wp:positionH relativeFrom="column">
                <wp:align>left</wp:align>
              </wp:positionH>
              <wp:positionV relativeFrom="line">
                <wp:posOffset>0</wp:posOffset>
              </wp:positionV>
              <wp:extent cx="152400" cy="152400"/>
              <wp:effectExtent l="0" t="0" r="0" b="0"/>
              <wp:wrapSquare wrapText="bothSides"/>
              <wp:docPr id="34" name="Imagen 34"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19C477C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10" w:name="8"/>
      <w:r w:rsidRPr="00D042CB">
        <w:rPr>
          <w:rFonts w:ascii="Arial" w:eastAsia="Times New Roman" w:hAnsi="Arial" w:cs="Arial"/>
          <w:b/>
          <w:bCs/>
          <w:color w:val="BE9E55"/>
          <w:sz w:val="18"/>
          <w:szCs w:val="18"/>
          <w:lang w:eastAsia="es-CO"/>
        </w:rPr>
        <w:t>ARTÍCULO 8o. FORMULARIO DE RECOLECCIÓN DE APOYOS CIUDADANOS.</w:t>
      </w:r>
      <w:bookmarkEnd w:id="10"/>
      <w:r w:rsidRPr="00D042CB">
        <w:rPr>
          <w:rFonts w:ascii="Arial" w:eastAsia="Times New Roman" w:hAnsi="Arial" w:cs="Arial"/>
          <w:color w:val="4B4949"/>
          <w:sz w:val="18"/>
          <w:szCs w:val="18"/>
          <w:lang w:eastAsia="es-CO"/>
        </w:rPr>
        <w:t> La Registraduría del Estado Civil diseñará el formulario de recolección de firmas de ciudadanos que serán entregados gratuitamente al promotor de todo tipo de propuesta sobre mecanismos de participación ciudadana. El formulario de recolección de apoyos deberá contener, como mínimo, los siguientes datos:</w:t>
      </w:r>
    </w:p>
    <w:p w14:paraId="21344A9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a) El número que la Registraduría del Estado Civil le asignó a la propuesta;</w:t>
      </w:r>
    </w:p>
    <w:p w14:paraId="6E1D4968"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b) El resumen del contenido de la propuesta, los motivos de su conveniencia y la invitación a los eventuales firmantes a leerla antes de apoyarla. Dicho resumen no podrá contener alusiones personales ni hacer publicidad personal o comercial;</w:t>
      </w:r>
    </w:p>
    <w:p w14:paraId="7496057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c) Espacio para que cada ciudadano diligencie, de manera legible, su apoyo a la propuesta con su nombre, número de identificación, firma y fecha de diligenciamiento. Si la persona no supiere escribir, registrará su apoyo con su huella dactilar;</w:t>
      </w:r>
    </w:p>
    <w:p w14:paraId="3A5D0C56"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d) El número de apoyos ciudadanos que deberán ser recolectados por el promotor;</w:t>
      </w:r>
    </w:p>
    <w:p w14:paraId="1EAF123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e) La fecha en la que vence el plazo para la recolección de apoyos ciudadanos a la propuesta.</w:t>
      </w:r>
    </w:p>
    <w:p w14:paraId="3D599833"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21"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34134E5B" w14:textId="77777777" w:rsidTr="00D042CB">
        <w:trPr>
          <w:tblCellSpacing w:w="15" w:type="dxa"/>
        </w:trPr>
        <w:tc>
          <w:tcPr>
            <w:tcW w:w="0" w:type="auto"/>
            <w:shd w:val="clear" w:color="auto" w:fill="E6E6E6"/>
            <w:vAlign w:val="center"/>
            <w:hideMark/>
          </w:tcPr>
          <w:p w14:paraId="3130B16C"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63B1D5E5"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22" w:history="1">
        <w:r w:rsidRPr="00D042CB">
          <w:rPr>
            <w:rFonts w:ascii="Arial" w:eastAsia="Times New Roman" w:hAnsi="Arial" w:cs="Arial"/>
            <w:color w:val="188A8A"/>
            <w:sz w:val="18"/>
            <w:szCs w:val="18"/>
            <w:u w:val="single"/>
            <w:shd w:val="clear" w:color="auto" w:fill="E6E6E6"/>
            <w:lang w:eastAsia="es-CO"/>
          </w:rPr>
          <w:t>Texto del Proyecto de Ley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77C17D15" w14:textId="77777777" w:rsidTr="00D042CB">
        <w:trPr>
          <w:tblCellSpacing w:w="15" w:type="dxa"/>
        </w:trPr>
        <w:tc>
          <w:tcPr>
            <w:tcW w:w="0" w:type="auto"/>
            <w:shd w:val="clear" w:color="auto" w:fill="E6E6E6"/>
            <w:vAlign w:val="center"/>
            <w:hideMark/>
          </w:tcPr>
          <w:p w14:paraId="38678E0E"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54E89234" w14:textId="32D3E064"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23"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7D8C2684" wp14:editId="696DC2B7">
              <wp:simplePos x="0" y="0"/>
              <wp:positionH relativeFrom="column">
                <wp:align>left</wp:align>
              </wp:positionH>
              <wp:positionV relativeFrom="line">
                <wp:posOffset>0</wp:posOffset>
              </wp:positionV>
              <wp:extent cx="152400" cy="152400"/>
              <wp:effectExtent l="0" t="0" r="0" b="0"/>
              <wp:wrapSquare wrapText="bothSides"/>
              <wp:docPr id="33" name="Imagen 33"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793DAD3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11" w:name="9"/>
      <w:r w:rsidRPr="00D042CB">
        <w:rPr>
          <w:rFonts w:ascii="Arial" w:eastAsia="Times New Roman" w:hAnsi="Arial" w:cs="Arial"/>
          <w:b/>
          <w:bCs/>
          <w:color w:val="BE9E55"/>
          <w:sz w:val="18"/>
          <w:szCs w:val="18"/>
          <w:lang w:eastAsia="es-CO"/>
        </w:rPr>
        <w:t>ARTÍCULO 9o. CANTIDAD DE APOYOS A RECOLECTAR.</w:t>
      </w:r>
      <w:bookmarkEnd w:id="11"/>
      <w:r w:rsidRPr="00D042CB">
        <w:rPr>
          <w:rFonts w:ascii="Arial" w:eastAsia="Times New Roman" w:hAnsi="Arial" w:cs="Arial"/>
          <w:color w:val="4B4949"/>
          <w:sz w:val="18"/>
          <w:szCs w:val="18"/>
          <w:lang w:eastAsia="es-CO"/>
        </w:rPr>
        <w:t> Para que los mecanismos de participación ciudadana superen la etapa de recolección de apoyos deben presentar ante la correspondiente Registraduría del Estado Civil la cantidad de apoyos determinadas en la Constitución y esta ley.</w:t>
      </w:r>
    </w:p>
    <w:p w14:paraId="4E2B903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a) Para que una iniciativa de referendo constitucional, una iniciativa popular de acto legislativo o de ley, o consulta popular nacional de origen ciudadano sea presentada ante el Congreso de la República, o el Senado de la República respectivamente, se requiere del apoyo de un número de ciudadanos igual o superior al 5% del censo electoral en la fecha respectiva;</w:t>
      </w:r>
    </w:p>
    <w:p w14:paraId="78478708"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b) Para presentar una iniciativa de referendo derogatorio de una ley, se requiere del apoyo de un número de ciudadanos igual o superior al diez por ciento (10%) del censo electoral en la fecha respectiva;</w:t>
      </w:r>
    </w:p>
    <w:p w14:paraId="6B1438F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lastRenderedPageBreak/>
        <w:t>c) Para presentar una iniciativa popular normativa de competencia de entidades territoriales se requiere el apoyo de un número de ciudadanos igual o superior al 10% del Censo Electoral vigente en la entidad territorial;</w:t>
      </w:r>
    </w:p>
    <w:p w14:paraId="01D932EC"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d) Para solicitar una consulta popular de origen ciudadano en las entidades territoriales se requiere del apoyo de un número no menor del diez por ciento (10%) de ciudadanos que hagan parte del respectivo censo electoral;</w:t>
      </w:r>
    </w:p>
    <w:p w14:paraId="04833239"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 xml:space="preserve">e) Para presentar una revocatoria de mandato se requiere del apoyo de un número de ciudadanos que hagan parte del censo electoral departamental, municipal o distrital de no menos </w:t>
      </w:r>
      <w:proofErr w:type="spellStart"/>
      <w:r w:rsidRPr="00D042CB">
        <w:rPr>
          <w:rFonts w:ascii="Arial" w:eastAsia="Times New Roman" w:hAnsi="Arial" w:cs="Arial"/>
          <w:color w:val="4B4949"/>
          <w:sz w:val="18"/>
          <w:szCs w:val="18"/>
          <w:lang w:eastAsia="es-CO"/>
        </w:rPr>
        <w:t>del</w:t>
      </w:r>
      <w:proofErr w:type="spellEnd"/>
      <w:r w:rsidRPr="00D042CB">
        <w:rPr>
          <w:rFonts w:ascii="Arial" w:eastAsia="Times New Roman" w:hAnsi="Arial" w:cs="Arial"/>
          <w:color w:val="4B4949"/>
          <w:sz w:val="18"/>
          <w:szCs w:val="18"/>
          <w:lang w:eastAsia="es-CO"/>
        </w:rPr>
        <w:t xml:space="preserve"> treinta por ciento (30%) de los votos obtenidos por el elegido.</w:t>
      </w:r>
    </w:p>
    <w:p w14:paraId="382A67D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 1o.</w:t>
      </w:r>
      <w:r w:rsidRPr="00D042CB">
        <w:rPr>
          <w:rFonts w:ascii="Arial" w:eastAsia="Times New Roman" w:hAnsi="Arial" w:cs="Arial"/>
          <w:color w:val="4B4949"/>
          <w:sz w:val="18"/>
          <w:szCs w:val="18"/>
          <w:lang w:eastAsia="es-CO"/>
        </w:rPr>
        <w:t> Cuando el número de apoyos válidos obtenidos para un referendo, una iniciativa popular normativa, o una consulta popular de origen ciudadano sea superior al veinte por ciento (20%) del respectivo censo electoral, el Gobierno Departamental, Distrital, Municipal o Local respectivo, o la Corporación Pública de elección popular correspondiente deberá proferir todos los actos necesarios para la realización del referendo, de la consulta popular o trámite de la iniciativa normativa según se trate, en el término de veinte (20) días.</w:t>
      </w:r>
    </w:p>
    <w:p w14:paraId="4DDD5C63"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 2o.</w:t>
      </w:r>
      <w:r w:rsidRPr="00D042CB">
        <w:rPr>
          <w:rFonts w:ascii="Arial" w:eastAsia="Times New Roman" w:hAnsi="Arial" w:cs="Arial"/>
          <w:color w:val="4B4949"/>
          <w:sz w:val="18"/>
          <w:szCs w:val="18"/>
          <w:lang w:eastAsia="es-CO"/>
        </w:rPr>
        <w:t> Los porcentajes del censo electoral señalados en los literales a), b), e) y d) de este artículo se calcularán sobre el censo electoral vigente de la entidad territorial a la fecha en que se realizó la inscripción de la iniciativa.</w:t>
      </w:r>
    </w:p>
    <w:p w14:paraId="402E179C"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24"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69DA4DBD" w14:textId="77777777" w:rsidTr="00D042CB">
        <w:trPr>
          <w:tblCellSpacing w:w="15" w:type="dxa"/>
        </w:trPr>
        <w:tc>
          <w:tcPr>
            <w:tcW w:w="0" w:type="auto"/>
            <w:shd w:val="clear" w:color="auto" w:fill="E6E6E6"/>
            <w:vAlign w:val="center"/>
            <w:hideMark/>
          </w:tcPr>
          <w:p w14:paraId="434C86C0"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76E52B44" w14:textId="7FC97313"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25"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04AEA06D" wp14:editId="3F4CC90B">
              <wp:simplePos x="0" y="0"/>
              <wp:positionH relativeFrom="column">
                <wp:align>left</wp:align>
              </wp:positionH>
              <wp:positionV relativeFrom="line">
                <wp:posOffset>0</wp:posOffset>
              </wp:positionV>
              <wp:extent cx="152400" cy="152400"/>
              <wp:effectExtent l="0" t="0" r="0" b="0"/>
              <wp:wrapSquare wrapText="bothSides"/>
              <wp:docPr id="32" name="Imagen 32"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0B9C737"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12" w:name="10"/>
      <w:r w:rsidRPr="00D042CB">
        <w:rPr>
          <w:rFonts w:ascii="Arial" w:eastAsia="Times New Roman" w:hAnsi="Arial" w:cs="Arial"/>
          <w:b/>
          <w:bCs/>
          <w:color w:val="BE9E55"/>
          <w:sz w:val="18"/>
          <w:szCs w:val="18"/>
          <w:lang w:eastAsia="es-CO"/>
        </w:rPr>
        <w:t>ARTÍCULO 10. PLAZO PARA LA RECOLECCIÓN DE APOYOS CIUDADANOS Y ENTREGA DE LOS FORMULARIOS.</w:t>
      </w:r>
      <w:bookmarkEnd w:id="12"/>
      <w:r w:rsidRPr="00D042CB">
        <w:rPr>
          <w:rFonts w:ascii="Arial" w:eastAsia="Times New Roman" w:hAnsi="Arial" w:cs="Arial"/>
          <w:color w:val="4B4949"/>
          <w:sz w:val="18"/>
          <w:szCs w:val="18"/>
          <w:lang w:eastAsia="es-CO"/>
        </w:rPr>
        <w:t> Inscrita la propuesta de referendo, iniciativa legislativa y normativa, consulta popular de origen ciudadano, o de revocatoria del mandato ante la Registraduría del Estado Civil correspondiente, el Registrador dispondrá de quince días para la elaboración y entrega de los formularios a los promotores, a partir del cual, estos contarán con seis meses para la recolección de las firmas de quienes apoyan la iniciativa. Este plazo podrá ser prorrogado, en caso de fuerza mayor o caso fortuito, debidamente acreditado, hasta por tres meses más, en la forma y por el tiempo que señale el Consejo Nacional Electoral.</w:t>
      </w:r>
    </w:p>
    <w:p w14:paraId="021C5809" w14:textId="4932EC99"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26"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3A4D1C7C" wp14:editId="111AB8DF">
              <wp:simplePos x="0" y="0"/>
              <wp:positionH relativeFrom="column">
                <wp:align>left</wp:align>
              </wp:positionH>
              <wp:positionV relativeFrom="line">
                <wp:posOffset>0</wp:posOffset>
              </wp:positionV>
              <wp:extent cx="152400" cy="152400"/>
              <wp:effectExtent l="0" t="0" r="0" b="0"/>
              <wp:wrapSquare wrapText="bothSides"/>
              <wp:docPr id="31" name="Imagen 31"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1469F696"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13" w:name="11"/>
      <w:r w:rsidRPr="00D042CB">
        <w:rPr>
          <w:rFonts w:ascii="Arial" w:eastAsia="Times New Roman" w:hAnsi="Arial" w:cs="Arial"/>
          <w:b/>
          <w:bCs/>
          <w:color w:val="BE9E55"/>
          <w:sz w:val="18"/>
          <w:szCs w:val="18"/>
          <w:lang w:eastAsia="es-CO"/>
        </w:rPr>
        <w:t>ARTÍCULO 11. ENTREGA DE LOS FORMULARIOS Y ESTADOS CONTABLES A LA REGISTRADURÍA.</w:t>
      </w:r>
      <w:bookmarkEnd w:id="13"/>
      <w:r w:rsidRPr="00D042CB">
        <w:rPr>
          <w:rFonts w:ascii="Arial" w:eastAsia="Times New Roman" w:hAnsi="Arial" w:cs="Arial"/>
          <w:color w:val="4B4949"/>
          <w:sz w:val="18"/>
          <w:szCs w:val="18"/>
          <w:lang w:eastAsia="es-CO"/>
        </w:rPr>
        <w:t> Al vencer el plazo para la recolección de apoyos, el promotor presentará los formularios debidamente diligenciados, al Registrador del Estado Civil correspondiente. Vencido el plazo sin que se haya logrado completar el número de apoyos requeridos, la propuesta será archivada.</w:t>
      </w:r>
    </w:p>
    <w:p w14:paraId="40259D8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de cualquier propuesta sobre mecanismo de participación ciudadana. En los estados contables figurarán los aportes, en dinero o en especie, que cada persona natural o jurídica realice durante la campaña respectiva.</w:t>
      </w:r>
    </w:p>
    <w:p w14:paraId="7E183381"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27"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2BDD037A" w14:textId="77777777" w:rsidTr="00D042CB">
        <w:trPr>
          <w:tblCellSpacing w:w="15" w:type="dxa"/>
        </w:trPr>
        <w:tc>
          <w:tcPr>
            <w:tcW w:w="0" w:type="auto"/>
            <w:shd w:val="clear" w:color="auto" w:fill="E6E6E6"/>
            <w:vAlign w:val="center"/>
            <w:hideMark/>
          </w:tcPr>
          <w:p w14:paraId="017CCD4F"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58DB2681" w14:textId="512D437A"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28"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3B4AA54D" wp14:editId="4F7185F7">
              <wp:simplePos x="0" y="0"/>
              <wp:positionH relativeFrom="column">
                <wp:align>left</wp:align>
              </wp:positionH>
              <wp:positionV relativeFrom="line">
                <wp:posOffset>0</wp:posOffset>
              </wp:positionV>
              <wp:extent cx="152400" cy="152400"/>
              <wp:effectExtent l="0" t="0" r="0" b="0"/>
              <wp:wrapSquare wrapText="bothSides"/>
              <wp:docPr id="30" name="Imagen 30"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6A60F745"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14" w:name="12"/>
      <w:r w:rsidRPr="00D042CB">
        <w:rPr>
          <w:rFonts w:ascii="Arial" w:eastAsia="Times New Roman" w:hAnsi="Arial" w:cs="Arial"/>
          <w:b/>
          <w:bCs/>
          <w:color w:val="BE9E55"/>
          <w:sz w:val="18"/>
          <w:szCs w:val="18"/>
          <w:lang w:eastAsia="es-CO"/>
        </w:rPr>
        <w:t>ARTÍCULO 12. FIJACIÓN DE LOS TOPES EN LAS CAMPAÑAS DE RECOLECCIÓN DE APOYOS CIUDADANOS.</w:t>
      </w:r>
      <w:bookmarkEnd w:id="14"/>
      <w:r w:rsidRPr="00D042CB">
        <w:rPr>
          <w:rFonts w:ascii="Arial" w:eastAsia="Times New Roman" w:hAnsi="Arial" w:cs="Arial"/>
          <w:color w:val="4B4949"/>
          <w:sz w:val="18"/>
          <w:szCs w:val="18"/>
          <w:lang w:eastAsia="es-CO"/>
        </w:rPr>
        <w:t> El Consejo Nacional Electoral fijará anualmente las sumas 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los mecanismos de participación ciudadana.</w:t>
      </w:r>
    </w:p>
    <w:p w14:paraId="24FAF07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 1o.</w:t>
      </w:r>
      <w:r w:rsidRPr="00D042CB">
        <w:rPr>
          <w:rFonts w:ascii="Arial" w:eastAsia="Times New Roman" w:hAnsi="Arial" w:cs="Arial"/>
          <w:color w:val="4B4949"/>
          <w:sz w:val="18"/>
          <w:szCs w:val="18"/>
          <w:lang w:eastAsia="es-CO"/>
        </w:rPr>
        <w:t> Para la fijación de los topes establecidos en este artículo, el Consejo Nacional Electoral tendrá en cuenta si se trata de propuestas del orden nacional, departamental, municipal o local.</w:t>
      </w:r>
    </w:p>
    <w:p w14:paraId="49E84D1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 2o.</w:t>
      </w:r>
      <w:r w:rsidRPr="00D042CB">
        <w:rPr>
          <w:rFonts w:ascii="Arial" w:eastAsia="Times New Roman" w:hAnsi="Arial" w:cs="Arial"/>
          <w:color w:val="4B4949"/>
          <w:sz w:val="18"/>
          <w:szCs w:val="18"/>
          <w:lang w:eastAsia="es-CO"/>
        </w:rPr>
        <w:t xml:space="preserve"> Ninguna campaña de recolección de apoyos ciudadanos para los mecanismos de participación de </w:t>
      </w:r>
      <w:proofErr w:type="spellStart"/>
      <w:r w:rsidRPr="00D042CB">
        <w:rPr>
          <w:rFonts w:ascii="Arial" w:eastAsia="Times New Roman" w:hAnsi="Arial" w:cs="Arial"/>
          <w:color w:val="4B4949"/>
          <w:sz w:val="18"/>
          <w:szCs w:val="18"/>
          <w:lang w:eastAsia="es-CO"/>
        </w:rPr>
        <w:t>que</w:t>
      </w:r>
      <w:proofErr w:type="spellEnd"/>
      <w:r w:rsidRPr="00D042CB">
        <w:rPr>
          <w:rFonts w:ascii="Arial" w:eastAsia="Times New Roman" w:hAnsi="Arial" w:cs="Arial"/>
          <w:color w:val="4B4949"/>
          <w:sz w:val="18"/>
          <w:szCs w:val="18"/>
          <w:lang w:eastAsia="es-CO"/>
        </w:rPr>
        <w:t xml:space="preserve"> trata esta ley, podrá obtener créditos ni recaudar recursos, contribuciones ni donaciones provenientes de personas naturales y jurídicas de las que trata el Código de Comercio, que superen el diez por ciento (10%) de la suma máxima autorizada por el Consejo Nacional Electoral para la campaña.</w:t>
      </w:r>
    </w:p>
    <w:p w14:paraId="6FE1495C"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29"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0B6C90B1" w14:textId="77777777" w:rsidTr="00D042CB">
        <w:trPr>
          <w:tblCellSpacing w:w="15" w:type="dxa"/>
        </w:trPr>
        <w:tc>
          <w:tcPr>
            <w:tcW w:w="0" w:type="auto"/>
            <w:shd w:val="clear" w:color="auto" w:fill="E6E6E6"/>
            <w:vAlign w:val="center"/>
            <w:hideMark/>
          </w:tcPr>
          <w:p w14:paraId="30C83380"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5EF78BF3" w14:textId="59EED7D3"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30"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39B45629" wp14:editId="49D05F8F">
              <wp:simplePos x="0" y="0"/>
              <wp:positionH relativeFrom="column">
                <wp:align>left</wp:align>
              </wp:positionH>
              <wp:positionV relativeFrom="line">
                <wp:posOffset>0</wp:posOffset>
              </wp:positionV>
              <wp:extent cx="152400" cy="152400"/>
              <wp:effectExtent l="0" t="0" r="0" b="0"/>
              <wp:wrapSquare wrapText="bothSides"/>
              <wp:docPr id="29" name="Imagen 29"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9C0C537"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15" w:name="13"/>
      <w:r w:rsidRPr="00D042CB">
        <w:rPr>
          <w:rFonts w:ascii="Arial" w:eastAsia="Times New Roman" w:hAnsi="Arial" w:cs="Arial"/>
          <w:b/>
          <w:bCs/>
          <w:color w:val="BE9E55"/>
          <w:sz w:val="18"/>
          <w:szCs w:val="18"/>
          <w:lang w:eastAsia="es-CO"/>
        </w:rPr>
        <w:t>ARTÍCULO 13. VERIFICACIÓN DE APOYOS.</w:t>
      </w:r>
      <w:bookmarkEnd w:id="15"/>
      <w:r w:rsidRPr="00D042CB">
        <w:rPr>
          <w:rFonts w:ascii="Arial" w:eastAsia="Times New Roman" w:hAnsi="Arial" w:cs="Arial"/>
          <w:color w:val="4B4949"/>
          <w:sz w:val="18"/>
          <w:szCs w:val="18"/>
          <w:lang w:eastAsia="es-CO"/>
        </w:rPr>
        <w:t> Una vez el promotor haga entrega de los formularios en los que los ciudadanos suscribieron su apoyo a la propuesta, la Registraduría del Estado Civil procederá a verificar los apoyos.</w:t>
      </w:r>
    </w:p>
    <w:p w14:paraId="535AA3F3"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Serán causales para la anulación de apoyos ciudadanos consignados en los formularios:</w:t>
      </w:r>
    </w:p>
    <w:p w14:paraId="57507A5E"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a) Si una persona consignó su apoyo en más de una oportunidad, se anularán todos sus apoyos excepto el que tenga la fecha más reciente;</w:t>
      </w:r>
    </w:p>
    <w:p w14:paraId="457340DD"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b) Fecha, nombre o número de las cédulas de ciudadanía, ilegibles o no identificables;</w:t>
      </w:r>
    </w:p>
    <w:p w14:paraId="718C3A85"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c) Firma con datos incompletos, falsos o erróneos;</w:t>
      </w:r>
    </w:p>
    <w:p w14:paraId="2BADF129"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d) Firmas de la misma mano;</w:t>
      </w:r>
    </w:p>
    <w:p w14:paraId="4B097AA6"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e) Firma no manuscrita.</w:t>
      </w:r>
    </w:p>
    <w:p w14:paraId="45B31A7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w:t>
      </w:r>
      <w:r w:rsidRPr="00D042CB">
        <w:rPr>
          <w:rFonts w:ascii="Arial" w:eastAsia="Times New Roman" w:hAnsi="Arial" w:cs="Arial"/>
          <w:color w:val="4B4949"/>
          <w:sz w:val="18"/>
          <w:szCs w:val="18"/>
          <w:lang w:eastAsia="es-CO"/>
        </w:rPr>
        <w:t> Cuando se realicen propuestas sobre mecanismos de participación ciudadana en el ámbito de las entidades territoriales o de las comunas, corregimientos o localidades, solo podrán consignar su apoyo a la propuesta quienes hagan parte del censo electoral de la respectiva entidad territorial, comuna, corregimiento o localidad vigente al momento de haberse presentado la iniciativa de participación.</w:t>
      </w:r>
    </w:p>
    <w:p w14:paraId="030AC06B"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31"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4898370E" w14:textId="77777777" w:rsidTr="00D042CB">
        <w:trPr>
          <w:tblCellSpacing w:w="15" w:type="dxa"/>
        </w:trPr>
        <w:tc>
          <w:tcPr>
            <w:tcW w:w="0" w:type="auto"/>
            <w:shd w:val="clear" w:color="auto" w:fill="E6E6E6"/>
            <w:vAlign w:val="center"/>
            <w:hideMark/>
          </w:tcPr>
          <w:p w14:paraId="4E84680A"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1284E264" w14:textId="7C5E27E0"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32"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565A3EE8" wp14:editId="0FEC6EAA">
              <wp:simplePos x="0" y="0"/>
              <wp:positionH relativeFrom="column">
                <wp:align>left</wp:align>
              </wp:positionH>
              <wp:positionV relativeFrom="line">
                <wp:posOffset>0</wp:posOffset>
              </wp:positionV>
              <wp:extent cx="152400" cy="152400"/>
              <wp:effectExtent l="0" t="0" r="0" b="0"/>
              <wp:wrapSquare wrapText="bothSides"/>
              <wp:docPr id="28" name="Imagen 28"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0EEDC2B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16" w:name="14"/>
      <w:r w:rsidRPr="00D042CB">
        <w:rPr>
          <w:rFonts w:ascii="Arial" w:eastAsia="Times New Roman" w:hAnsi="Arial" w:cs="Arial"/>
          <w:b/>
          <w:bCs/>
          <w:color w:val="BE9E55"/>
          <w:sz w:val="18"/>
          <w:szCs w:val="18"/>
          <w:lang w:eastAsia="es-CO"/>
        </w:rPr>
        <w:lastRenderedPageBreak/>
        <w:t>ARTÍCULO 14. PLAZO PARA LA VERIFICACIÓN DE APOYOS CIUDADANOS A UNA PROPUESTA DE MECANISMOS DE PARTICIPACIÓN CIUDADANA.</w:t>
      </w:r>
      <w:bookmarkEnd w:id="16"/>
      <w:r w:rsidRPr="00D042CB">
        <w:rPr>
          <w:rFonts w:ascii="Arial" w:eastAsia="Times New Roman" w:hAnsi="Arial" w:cs="Arial"/>
          <w:color w:val="4B4949"/>
          <w:sz w:val="18"/>
          <w:szCs w:val="18"/>
          <w:lang w:eastAsia="es-CO"/>
        </w:rPr>
        <w:t> La Registraduría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5252A1CB"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w:t>
      </w:r>
      <w:r w:rsidRPr="00D042CB">
        <w:rPr>
          <w:rFonts w:ascii="Arial" w:eastAsia="Times New Roman" w:hAnsi="Arial" w:cs="Arial"/>
          <w:color w:val="4B4949"/>
          <w:sz w:val="18"/>
          <w:szCs w:val="18"/>
          <w:lang w:eastAsia="es-CO"/>
        </w:rPr>
        <w:t> En el proceso de verificación de apoyos solo se podrán adoptar técnicas de muestreo en los distritos, municipios de categoría especial y categoría uno.</w:t>
      </w:r>
    </w:p>
    <w:p w14:paraId="4715CA01"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33"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77B805D2" w14:textId="77777777" w:rsidTr="00D042CB">
        <w:trPr>
          <w:tblCellSpacing w:w="15" w:type="dxa"/>
        </w:trPr>
        <w:tc>
          <w:tcPr>
            <w:tcW w:w="0" w:type="auto"/>
            <w:shd w:val="clear" w:color="auto" w:fill="E6E6E6"/>
            <w:vAlign w:val="center"/>
            <w:hideMark/>
          </w:tcPr>
          <w:p w14:paraId="29F3595D"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69C43C9A" w14:textId="041A0DC2"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34"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5F2C2637" wp14:editId="7A0099D2">
              <wp:simplePos x="0" y="0"/>
              <wp:positionH relativeFrom="column">
                <wp:align>left</wp:align>
              </wp:positionH>
              <wp:positionV relativeFrom="line">
                <wp:posOffset>0</wp:posOffset>
              </wp:positionV>
              <wp:extent cx="152400" cy="152400"/>
              <wp:effectExtent l="0" t="0" r="0" b="0"/>
              <wp:wrapSquare wrapText="bothSides"/>
              <wp:docPr id="27" name="Imagen 27"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855CEC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17" w:name="15"/>
      <w:r w:rsidRPr="00D042CB">
        <w:rPr>
          <w:rFonts w:ascii="Arial" w:eastAsia="Times New Roman" w:hAnsi="Arial" w:cs="Arial"/>
          <w:b/>
          <w:bCs/>
          <w:color w:val="BE9E55"/>
          <w:sz w:val="18"/>
          <w:szCs w:val="18"/>
          <w:lang w:eastAsia="es-CO"/>
        </w:rPr>
        <w:t>ARTÍCULO 15. CERTIFICACIÓN.</w:t>
      </w:r>
      <w:bookmarkEnd w:id="17"/>
      <w:r w:rsidRPr="00D042CB">
        <w:rPr>
          <w:rFonts w:ascii="Arial" w:eastAsia="Times New Roman" w:hAnsi="Arial" w:cs="Arial"/>
          <w:color w:val="4B4949"/>
          <w:sz w:val="18"/>
          <w:szCs w:val="18"/>
          <w:lang w:eastAsia="es-CO"/>
        </w:rPr>
        <w:t> Vencido el término de verificación del que trata el artículo anterior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7EEA017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deberá presentar nuevamente a la Registraduría los formularios diligenciados para su verificación.</w:t>
      </w:r>
    </w:p>
    <w:p w14:paraId="7247A213"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w:t>
      </w:r>
      <w:r w:rsidRPr="00D042CB">
        <w:rPr>
          <w:rFonts w:ascii="Arial" w:eastAsia="Times New Roman" w:hAnsi="Arial" w:cs="Arial"/>
          <w:color w:val="4B4949"/>
          <w:sz w:val="18"/>
          <w:szCs w:val="18"/>
          <w:lang w:eastAsia="es-CO"/>
        </w:rPr>
        <w:t> El Registrador del Estado Civil correspondiente no podrá certificar el cumplimiento de los requisitos constitucionales y legales cuando el promotor no haya entregado los estados contables dentro del plazo contemplado en esta ley o cuando los estados contables reflejen que la campaña excedió los topes individuales y generales de financiamiento permitidos por el Consejo Nacional Electoral.</w:t>
      </w:r>
    </w:p>
    <w:p w14:paraId="41219D60"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35"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16E907A7" w14:textId="77777777" w:rsidTr="00D042CB">
        <w:trPr>
          <w:tblCellSpacing w:w="15" w:type="dxa"/>
        </w:trPr>
        <w:tc>
          <w:tcPr>
            <w:tcW w:w="0" w:type="auto"/>
            <w:shd w:val="clear" w:color="auto" w:fill="E6E6E6"/>
            <w:vAlign w:val="center"/>
            <w:hideMark/>
          </w:tcPr>
          <w:p w14:paraId="419F4A0F"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04D76238" w14:textId="11764204"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36"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3BC30750" wp14:editId="051BAADB">
              <wp:simplePos x="0" y="0"/>
              <wp:positionH relativeFrom="column">
                <wp:align>left</wp:align>
              </wp:positionH>
              <wp:positionV relativeFrom="line">
                <wp:posOffset>0</wp:posOffset>
              </wp:positionV>
              <wp:extent cx="152400" cy="152400"/>
              <wp:effectExtent l="0" t="0" r="0" b="0"/>
              <wp:wrapSquare wrapText="bothSides"/>
              <wp:docPr id="26" name="Imagen 26"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5DFBBEF"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18" w:name="16"/>
      <w:r w:rsidRPr="00D042CB">
        <w:rPr>
          <w:rFonts w:ascii="Arial" w:eastAsia="Times New Roman" w:hAnsi="Arial" w:cs="Arial"/>
          <w:b/>
          <w:bCs/>
          <w:color w:val="BE9E55"/>
          <w:sz w:val="18"/>
          <w:szCs w:val="18"/>
          <w:lang w:eastAsia="es-CO"/>
        </w:rPr>
        <w:t>ARTÍCULO 16. DESISTIMIENTO.</w:t>
      </w:r>
      <w:bookmarkEnd w:id="18"/>
      <w:r w:rsidRPr="00D042CB">
        <w:rPr>
          <w:rFonts w:ascii="Arial" w:eastAsia="Times New Roman" w:hAnsi="Arial" w:cs="Arial"/>
          <w:color w:val="4B4949"/>
          <w:sz w:val="18"/>
          <w:szCs w:val="18"/>
          <w:lang w:eastAsia="es-CO"/>
        </w:rPr>
        <w:t> El comité promotor podrá desistir de la propuesta sobre mecanismos de participación ciudadana antes del vencimiento del plazo para la recolección de los apoyos. Esta decisión debe ser presentada por escrito y motivada al registrador correspondiente, junto con todos los apoyos recolectados hasta el momento.</w:t>
      </w:r>
    </w:p>
    <w:p w14:paraId="0339A582"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Dentro de los cuarenta y cinco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p w14:paraId="558F0BFF"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37"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0E91A2F7" w14:textId="77777777" w:rsidTr="00D042CB">
        <w:trPr>
          <w:tblCellSpacing w:w="15" w:type="dxa"/>
        </w:trPr>
        <w:tc>
          <w:tcPr>
            <w:tcW w:w="0" w:type="auto"/>
            <w:shd w:val="clear" w:color="auto" w:fill="E6E6E6"/>
            <w:vAlign w:val="center"/>
            <w:hideMark/>
          </w:tcPr>
          <w:p w14:paraId="6BCC1013"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04258D2A" w14:textId="79D7CD3D"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38"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43FC6127" wp14:editId="5C4262DE">
              <wp:simplePos x="0" y="0"/>
              <wp:positionH relativeFrom="column">
                <wp:align>left</wp:align>
              </wp:positionH>
              <wp:positionV relativeFrom="line">
                <wp:posOffset>0</wp:posOffset>
              </wp:positionV>
              <wp:extent cx="152400" cy="152400"/>
              <wp:effectExtent l="0" t="0" r="0" b="0"/>
              <wp:wrapSquare wrapText="bothSides"/>
              <wp:docPr id="25" name="Imagen 25"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FA536E9"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19" w:name="17"/>
      <w:r w:rsidRPr="00D042CB">
        <w:rPr>
          <w:rFonts w:ascii="Arial" w:eastAsia="Times New Roman" w:hAnsi="Arial" w:cs="Arial"/>
          <w:b/>
          <w:bCs/>
          <w:color w:val="BE9E55"/>
          <w:sz w:val="18"/>
          <w:szCs w:val="18"/>
          <w:lang w:eastAsia="es-CO"/>
        </w:rPr>
        <w:t>ARTÍCULO 17. CONSERVACIÓN DE LOS FORMULARIOS.</w:t>
      </w:r>
      <w:bookmarkEnd w:id="19"/>
      <w:r w:rsidRPr="00D042CB">
        <w:rPr>
          <w:rFonts w:ascii="Arial" w:eastAsia="Times New Roman" w:hAnsi="Arial" w:cs="Arial"/>
          <w:color w:val="4B4949"/>
          <w:sz w:val="18"/>
          <w:szCs w:val="18"/>
          <w:lang w:eastAsia="es-CO"/>
        </w:rPr>
        <w:t> Una vez que la Registraduría correspondiente haya expedido la certificación sobre la verificación de los apoyos recolectados, procederá a conservar digitalmente los formularios.</w:t>
      </w:r>
    </w:p>
    <w:p w14:paraId="70385A64"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39"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739EC030" w14:textId="77777777" w:rsidTr="00D042CB">
        <w:trPr>
          <w:tblCellSpacing w:w="15" w:type="dxa"/>
        </w:trPr>
        <w:tc>
          <w:tcPr>
            <w:tcW w:w="0" w:type="auto"/>
            <w:shd w:val="clear" w:color="auto" w:fill="E6E6E6"/>
            <w:vAlign w:val="center"/>
            <w:hideMark/>
          </w:tcPr>
          <w:p w14:paraId="3CF08EB0"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2C3FF1DE" w14:textId="0670549D"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40"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4427EDE2" wp14:editId="60C526DA">
              <wp:simplePos x="0" y="0"/>
              <wp:positionH relativeFrom="column">
                <wp:align>left</wp:align>
              </wp:positionH>
              <wp:positionV relativeFrom="line">
                <wp:posOffset>0</wp:posOffset>
              </wp:positionV>
              <wp:extent cx="152400" cy="152400"/>
              <wp:effectExtent l="0" t="0" r="0" b="0"/>
              <wp:wrapSquare wrapText="bothSides"/>
              <wp:docPr id="24" name="Imagen 24"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C2E9203"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20" w:name="18"/>
      <w:r w:rsidRPr="00D042CB">
        <w:rPr>
          <w:rFonts w:ascii="Arial" w:eastAsia="Times New Roman" w:hAnsi="Arial" w:cs="Arial"/>
          <w:b/>
          <w:bCs/>
          <w:color w:val="BE9E55"/>
          <w:sz w:val="18"/>
          <w:szCs w:val="18"/>
          <w:lang w:eastAsia="es-CO"/>
        </w:rPr>
        <w:t>ARTÍCULO 18. MATERIAS QUE PUEDEN SER OBJETO DE INICIATIVA POPULAR LEGISLATIVA Y NORMATIVA, REFERENDO O CONSULTA POPULAR.</w:t>
      </w:r>
      <w:bookmarkEnd w:id="20"/>
      <w:r w:rsidRPr="00D042CB">
        <w:rPr>
          <w:rFonts w:ascii="Arial" w:eastAsia="Times New Roman" w:hAnsi="Arial" w:cs="Arial"/>
          <w:color w:val="4B4949"/>
          <w:sz w:val="18"/>
          <w:szCs w:val="18"/>
          <w:lang w:eastAsia="es-CO"/>
        </w:rPr>
        <w:t> Solo pueden ser materia de iniciativa popular legislativa y normativa, consulta popular o referendo ante las corporaciones públicas, aquellas que sean de la competencia de la respectiva corporación o entidad territorial.</w:t>
      </w:r>
    </w:p>
    <w:p w14:paraId="11A4580E"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No se podrán presentar iniciativas populares legislativas y normativas o consultas populares ante el Congreso, las asambleas, los concejos o las juntas administradoras locales, sobre las siguientes materias:</w:t>
      </w:r>
    </w:p>
    <w:p w14:paraId="68D2D83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a) Las que sean de iniciativa exclusiva del Gobierno, de los gobernadores o de los alcaldes;</w:t>
      </w:r>
    </w:p>
    <w:p w14:paraId="7BBCB819"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b) Presupuestales, fiscales o tributarias;</w:t>
      </w:r>
    </w:p>
    <w:p w14:paraId="11EF914B"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c) Relaciones internacionales;</w:t>
      </w:r>
    </w:p>
    <w:p w14:paraId="2EA5A79D"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d) Concesión de amnistías o indultos;</w:t>
      </w:r>
    </w:p>
    <w:p w14:paraId="241C02CF"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e) Preservación y restablecimiento del orden público.</w:t>
      </w:r>
    </w:p>
    <w:p w14:paraId="61A491B2"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41"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2E8E8E71" w14:textId="77777777" w:rsidTr="00D042CB">
        <w:trPr>
          <w:tblCellSpacing w:w="15" w:type="dxa"/>
        </w:trPr>
        <w:tc>
          <w:tcPr>
            <w:tcW w:w="0" w:type="auto"/>
            <w:shd w:val="clear" w:color="auto" w:fill="E6E6E6"/>
            <w:vAlign w:val="center"/>
            <w:hideMark/>
          </w:tcPr>
          <w:p w14:paraId="017632FC"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2DFB54ED" w14:textId="08DB0C22"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42"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4ADDD357" wp14:editId="0EC0787D">
              <wp:simplePos x="0" y="0"/>
              <wp:positionH relativeFrom="column">
                <wp:align>left</wp:align>
              </wp:positionH>
              <wp:positionV relativeFrom="line">
                <wp:posOffset>0</wp:posOffset>
              </wp:positionV>
              <wp:extent cx="152400" cy="152400"/>
              <wp:effectExtent l="0" t="0" r="0" b="0"/>
              <wp:wrapSquare wrapText="bothSides"/>
              <wp:docPr id="23" name="Imagen 23"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1DF5DF3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21" w:name="19"/>
      <w:r w:rsidRPr="00D042CB">
        <w:rPr>
          <w:rFonts w:ascii="Arial" w:eastAsia="Times New Roman" w:hAnsi="Arial" w:cs="Arial"/>
          <w:b/>
          <w:bCs/>
          <w:color w:val="BE9E55"/>
          <w:sz w:val="18"/>
          <w:szCs w:val="18"/>
          <w:lang w:eastAsia="es-CO"/>
        </w:rPr>
        <w:t>ARTÍCULO 19. TRÁMITE ANTE LAS CORPORACIONES PÚBLICAS DE LAS PROPUESTAS DE REFERENDO, INICIATIVA LEGAL O NORMATIVA DE ORIGEN POPULAR, O CONSULTA POPULAR DE ORIGEN CIUDADANO.</w:t>
      </w:r>
      <w:bookmarkEnd w:id="21"/>
      <w:r w:rsidRPr="00D042CB">
        <w:rPr>
          <w:rFonts w:ascii="Arial" w:eastAsia="Times New Roman" w:hAnsi="Arial" w:cs="Arial"/>
          <w:color w:val="4B4949"/>
          <w:sz w:val="18"/>
          <w:szCs w:val="18"/>
          <w:lang w:eastAsia="es-CO"/>
        </w:rPr>
        <w:t> Cuando se haya expedido la certificación que trata la presente ley, la Registraduría correspondiente enviará a la entidad competente el articulado, la exposición de motivos del referendo, o de iniciativa legislativa y normativa de origen popular, o de consulta popular de origen ciudadano.</w:t>
      </w:r>
    </w:p>
    <w:p w14:paraId="7C809A9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El nombre de la iniciativa, el de sus promotores y voceros, así como el texto del proyecto de articulado y su exposición de motivos, deberán ser divulgados en la publicación oficial de la correspondiente corporación.</w:t>
      </w:r>
    </w:p>
    <w:p w14:paraId="6CB7094D"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 1o.</w:t>
      </w:r>
      <w:r w:rsidRPr="00D042CB">
        <w:rPr>
          <w:rFonts w:ascii="Arial" w:eastAsia="Times New Roman" w:hAnsi="Arial" w:cs="Arial"/>
          <w:color w:val="4B4949"/>
          <w:sz w:val="18"/>
          <w:szCs w:val="18"/>
          <w:lang w:eastAsia="es-CO"/>
        </w:rPr>
        <w:t> En las entidades territoriales, cuando un referendo de origen popular, aprobatorio de un proyecto de ordenanza, acuerdo o resolución local, obtenga un número de apoyos ciudadanos superior al veinte por ciento (20%) del respectivo censo electoral, deberá procederse a su realización, previo concepto de constitucionalidad según el artículo </w:t>
      </w:r>
      <w:hyperlink r:id="rId43" w:anchor="21" w:history="1">
        <w:r w:rsidRPr="00D042CB">
          <w:rPr>
            <w:rFonts w:ascii="Arial" w:eastAsia="Times New Roman" w:hAnsi="Arial" w:cs="Arial"/>
            <w:color w:val="0073FF"/>
            <w:sz w:val="18"/>
            <w:szCs w:val="18"/>
            <w:u w:val="single"/>
            <w:lang w:eastAsia="es-CO"/>
          </w:rPr>
          <w:t>21</w:t>
        </w:r>
      </w:hyperlink>
      <w:r w:rsidRPr="00D042CB">
        <w:rPr>
          <w:rFonts w:ascii="Arial" w:eastAsia="Times New Roman" w:hAnsi="Arial" w:cs="Arial"/>
          <w:color w:val="4B4949"/>
          <w:sz w:val="18"/>
          <w:szCs w:val="18"/>
          <w:lang w:eastAsia="es-CO"/>
        </w:rPr>
        <w:t> de la presente ley, y no requerirá ningún trámite ante la corporación de elección popular correspondiente.</w:t>
      </w:r>
    </w:p>
    <w:p w14:paraId="44ECB60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lastRenderedPageBreak/>
        <w:t>PARÁGRAFO 2o.</w:t>
      </w:r>
      <w:r w:rsidRPr="00D042CB">
        <w:rPr>
          <w:rFonts w:ascii="Arial" w:eastAsia="Times New Roman" w:hAnsi="Arial" w:cs="Arial"/>
          <w:color w:val="4B4949"/>
          <w:sz w:val="18"/>
          <w:szCs w:val="18"/>
          <w:lang w:eastAsia="es-CO"/>
        </w:rPr>
        <w:t> Cuando para continuar con el proceso de una iniciativa de participación ciudadana se requiera del trámite previo ante una corporación pública de elección popular, y esta deba darle trámite mediante proyecto de ley, ordenanza, acuerdo o resolución de Junta Administradora Local y pueda generarse el archivo de la misma por vencimiento de la legislatura, la corporación respectiva, deberá darle curso a la iniciativa en la siguiente legislatura, dentro de los cinco primeros días del inicio de la misma.</w:t>
      </w:r>
    </w:p>
    <w:p w14:paraId="480EEE8C"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44"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28DC953E" w14:textId="77777777" w:rsidTr="00D042CB">
        <w:trPr>
          <w:tblCellSpacing w:w="15" w:type="dxa"/>
        </w:trPr>
        <w:tc>
          <w:tcPr>
            <w:tcW w:w="0" w:type="auto"/>
            <w:shd w:val="clear" w:color="auto" w:fill="E6E6E6"/>
            <w:vAlign w:val="center"/>
            <w:hideMark/>
          </w:tcPr>
          <w:p w14:paraId="7FE254CF"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315631BC"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45" w:history="1">
        <w:r w:rsidRPr="00D042CB">
          <w:rPr>
            <w:rFonts w:ascii="Arial" w:eastAsia="Times New Roman" w:hAnsi="Arial" w:cs="Arial"/>
            <w:color w:val="188A8A"/>
            <w:sz w:val="18"/>
            <w:szCs w:val="18"/>
            <w:u w:val="single"/>
            <w:shd w:val="clear" w:color="auto" w:fill="E6E6E6"/>
            <w:lang w:eastAsia="es-CO"/>
          </w:rPr>
          <w:t>Texto del Proyecto de Ley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79194C89" w14:textId="77777777" w:rsidTr="00D042CB">
        <w:trPr>
          <w:tblCellSpacing w:w="15" w:type="dxa"/>
        </w:trPr>
        <w:tc>
          <w:tcPr>
            <w:tcW w:w="0" w:type="auto"/>
            <w:shd w:val="clear" w:color="auto" w:fill="E6E6E6"/>
            <w:vAlign w:val="center"/>
            <w:hideMark/>
          </w:tcPr>
          <w:p w14:paraId="52BEB457"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5A9A294A"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bookmarkStart w:id="22" w:name="CAPÍTULO_II-II"/>
      <w:r w:rsidRPr="00D042CB">
        <w:rPr>
          <w:rFonts w:ascii="Arial" w:eastAsia="Times New Roman" w:hAnsi="Arial" w:cs="Arial"/>
          <w:b/>
          <w:bCs/>
          <w:color w:val="BE9E55"/>
          <w:sz w:val="18"/>
          <w:szCs w:val="18"/>
          <w:lang w:eastAsia="es-CO"/>
        </w:rPr>
        <w:t>CAPÍTULO II.</w:t>
      </w:r>
      <w:bookmarkEnd w:id="22"/>
    </w:p>
    <w:p w14:paraId="672EF018"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DEL TRÁMITE EN CORPORACIONES PÚBLICAS Y REVISIÓN DE CONSTITUCIONALIDAD.</w:t>
      </w:r>
    </w:p>
    <w:p w14:paraId="0EBDBE5C" w14:textId="3648BF69"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46"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3B017B16" wp14:editId="5D0224C0">
              <wp:simplePos x="0" y="0"/>
              <wp:positionH relativeFrom="column">
                <wp:align>left</wp:align>
              </wp:positionH>
              <wp:positionV relativeFrom="line">
                <wp:posOffset>0</wp:posOffset>
              </wp:positionV>
              <wp:extent cx="152400" cy="152400"/>
              <wp:effectExtent l="0" t="0" r="0" b="0"/>
              <wp:wrapSquare wrapText="bothSides"/>
              <wp:docPr id="22" name="Imagen 22"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03C89A5"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23" w:name="20"/>
      <w:r w:rsidRPr="00D042CB">
        <w:rPr>
          <w:rFonts w:ascii="Arial" w:eastAsia="Times New Roman" w:hAnsi="Arial" w:cs="Arial"/>
          <w:b/>
          <w:bCs/>
          <w:color w:val="BE9E55"/>
          <w:sz w:val="18"/>
          <w:szCs w:val="18"/>
          <w:lang w:eastAsia="es-CO"/>
        </w:rPr>
        <w:t>ARTÍCULO 20. TRÁMITE DE LAS PROPUESTAS SOBRE MECANISMOS DE PARTICIPACIÓN CIUDADANA.</w:t>
      </w:r>
      <w:bookmarkEnd w:id="23"/>
      <w:r w:rsidRPr="00D042CB">
        <w:rPr>
          <w:rFonts w:ascii="Arial" w:eastAsia="Times New Roman" w:hAnsi="Arial" w:cs="Arial"/>
          <w:color w:val="4B4949"/>
          <w:sz w:val="18"/>
          <w:szCs w:val="18"/>
          <w:lang w:eastAsia="es-CO"/>
        </w:rPr>
        <w:t> Las reglas que rigen el trámite en corporaciones públicas de cada mecanismo de participación ciudadana son las siguientes:</w:t>
      </w:r>
    </w:p>
    <w:p w14:paraId="4D793796"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a) </w:t>
      </w:r>
      <w:r w:rsidRPr="00D042CB">
        <w:rPr>
          <w:rFonts w:ascii="Arial" w:eastAsia="Times New Roman" w:hAnsi="Arial" w:cs="Arial"/>
          <w:b/>
          <w:bCs/>
          <w:color w:val="000000"/>
          <w:sz w:val="18"/>
          <w:szCs w:val="18"/>
          <w:lang w:eastAsia="es-CO"/>
        </w:rPr>
        <w:t>Referendo</w:t>
      </w:r>
      <w:r w:rsidRPr="00D042CB">
        <w:rPr>
          <w:rFonts w:ascii="Arial" w:eastAsia="Times New Roman" w:hAnsi="Arial" w:cs="Arial"/>
          <w:color w:val="4B4949"/>
          <w:sz w:val="18"/>
          <w:szCs w:val="18"/>
          <w:lang w:eastAsia="es-CO"/>
        </w:rPr>
        <w:t>. &lt;Aparte subrayado CONDICIONALMENTE exequible&gt; A iniciativa del Gobierno o de la ciudadanía, de acuerdo a los requisitos fijados en la Constitución y la ley, el Congreso, </w:t>
      </w:r>
      <w:r w:rsidRPr="00D042CB">
        <w:rPr>
          <w:rFonts w:ascii="Arial" w:eastAsia="Times New Roman" w:hAnsi="Arial" w:cs="Arial"/>
          <w:color w:val="4B4949"/>
          <w:sz w:val="18"/>
          <w:szCs w:val="18"/>
          <w:u w:val="single"/>
          <w:lang w:eastAsia="es-CO"/>
        </w:rPr>
        <w:t>mediante ley que requiere la aprobación de la mayoría de los miembros de ambas Cámaras</w:t>
      </w:r>
      <w:r w:rsidRPr="00D042CB">
        <w:rPr>
          <w:rFonts w:ascii="Arial" w:eastAsia="Times New Roman" w:hAnsi="Arial" w:cs="Arial"/>
          <w:color w:val="4B4949"/>
          <w:sz w:val="18"/>
          <w:szCs w:val="18"/>
          <w:lang w:eastAsia="es-CO"/>
        </w:rPr>
        <w:t>, podrá someter a referendo un proyecto de reforma constitucional o de ley. La ley que sea aprobada por el Congreso deberá incorporar el texto que se somete a referendo.</w:t>
      </w:r>
    </w:p>
    <w:p w14:paraId="3E565B9F"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Sin perjuicio de lo dispuesto en el parágrafo del artículo </w:t>
      </w:r>
      <w:hyperlink r:id="rId47" w:anchor="19" w:history="1">
        <w:r w:rsidRPr="00D042CB">
          <w:rPr>
            <w:rFonts w:ascii="Arial" w:eastAsia="Times New Roman" w:hAnsi="Arial" w:cs="Arial"/>
            <w:color w:val="0073FF"/>
            <w:sz w:val="18"/>
            <w:szCs w:val="18"/>
            <w:u w:val="single"/>
            <w:lang w:eastAsia="es-CO"/>
          </w:rPr>
          <w:t>19</w:t>
        </w:r>
      </w:hyperlink>
      <w:r w:rsidRPr="00D042CB">
        <w:rPr>
          <w:rFonts w:ascii="Arial" w:eastAsia="Times New Roman" w:hAnsi="Arial" w:cs="Arial"/>
          <w:color w:val="4B4949"/>
          <w:sz w:val="18"/>
          <w:szCs w:val="18"/>
          <w:lang w:eastAsia="es-CO"/>
        </w:rPr>
        <w:t> de la presente ley, a iniciativa de los gobiernos departamental, distrital, municipal o local o de la ciudadanía, las asambleas departamentales, los concejos municipales y distritales, las Juntas Administradoras Locales mediante ordenanzas, acuerdos o resoluciones que incorporen el texto que se propone para referendo, podrán someter a consideración del pueblo un proyecto de norma;</w:t>
      </w:r>
    </w:p>
    <w:p w14:paraId="1205AC58"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48"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77C99183" w14:textId="77777777" w:rsidTr="00D042CB">
        <w:trPr>
          <w:tblCellSpacing w:w="15" w:type="dxa"/>
        </w:trPr>
        <w:tc>
          <w:tcPr>
            <w:tcW w:w="0" w:type="auto"/>
            <w:shd w:val="clear" w:color="auto" w:fill="E6E6E6"/>
            <w:vAlign w:val="center"/>
            <w:hideMark/>
          </w:tcPr>
          <w:p w14:paraId="7EB16DAD"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0AE03E9C"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b) </w:t>
      </w:r>
      <w:r w:rsidRPr="00D042CB">
        <w:rPr>
          <w:rFonts w:ascii="Arial" w:eastAsia="Times New Roman" w:hAnsi="Arial" w:cs="Arial"/>
          <w:b/>
          <w:bCs/>
          <w:color w:val="000000"/>
          <w:sz w:val="18"/>
          <w:szCs w:val="18"/>
          <w:lang w:eastAsia="es-CO"/>
        </w:rPr>
        <w:t>Iniciativa Legislativa y normativa</w:t>
      </w:r>
      <w:r w:rsidRPr="00D042CB">
        <w:rPr>
          <w:rFonts w:ascii="Arial" w:eastAsia="Times New Roman" w:hAnsi="Arial" w:cs="Arial"/>
          <w:color w:val="4B4949"/>
          <w:sz w:val="18"/>
          <w:szCs w:val="18"/>
          <w:lang w:eastAsia="es-CO"/>
        </w:rPr>
        <w:t>. La iniciativa popular legislativa o normativa será estudiada de conformidad con lo establecido en el reglamento de la corporación respectiva y se aplicarán las disposiciones establecidas en el artículo </w:t>
      </w:r>
      <w:hyperlink r:id="rId49" w:anchor="163" w:history="1">
        <w:r w:rsidRPr="00D042CB">
          <w:rPr>
            <w:rFonts w:ascii="Arial" w:eastAsia="Times New Roman" w:hAnsi="Arial" w:cs="Arial"/>
            <w:color w:val="0073FF"/>
            <w:sz w:val="18"/>
            <w:szCs w:val="18"/>
            <w:u w:val="single"/>
            <w:lang w:eastAsia="es-CO"/>
          </w:rPr>
          <w:t>163</w:t>
        </w:r>
      </w:hyperlink>
      <w:r w:rsidRPr="00D042CB">
        <w:rPr>
          <w:rFonts w:ascii="Arial" w:eastAsia="Times New Roman" w:hAnsi="Arial" w:cs="Arial"/>
          <w:color w:val="4B4949"/>
          <w:sz w:val="18"/>
          <w:szCs w:val="18"/>
          <w:lang w:eastAsia="es-CO"/>
        </w:rPr>
        <w:t> de la Constitución Política para los proyectos que hayan sido objeto de manifestación de urgencia.</w:t>
      </w:r>
    </w:p>
    <w:p w14:paraId="57CEAF6D"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En el caso de iniciativas legislativas, los términos serán improrrogables y su estudio será prioritario en el orden del día. En el caso en que la iniciativa sea negada en comisión, podrá ser apelada por el comité promotor en los términos del reglamento interno del Congreso de la República ante la plenaria respectiva.</w:t>
      </w:r>
    </w:p>
    <w:p w14:paraId="2F2CD0C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lastRenderedPageBreak/>
        <w:t>En el caso de iniciativas normativas, los términos serán improrrogables y su estudio será prioritario en el orden del día. En el caso en que la iniciativa sea negada en comisión, podrá ser apelada por el comité promotor en los términos del reglamento interno de la respectiva corporación ante la plenaria;</w:t>
      </w:r>
    </w:p>
    <w:p w14:paraId="65511BA8"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c) </w:t>
      </w:r>
      <w:r w:rsidRPr="00D042CB">
        <w:rPr>
          <w:rFonts w:ascii="Arial" w:eastAsia="Times New Roman" w:hAnsi="Arial" w:cs="Arial"/>
          <w:b/>
          <w:bCs/>
          <w:color w:val="000000"/>
          <w:sz w:val="18"/>
          <w:szCs w:val="18"/>
          <w:lang w:eastAsia="es-CO"/>
        </w:rPr>
        <w:t>Plebiscito</w:t>
      </w:r>
      <w:r w:rsidRPr="00D042CB">
        <w:rPr>
          <w:rFonts w:ascii="Arial" w:eastAsia="Times New Roman" w:hAnsi="Arial" w:cs="Arial"/>
          <w:color w:val="4B4949"/>
          <w:sz w:val="18"/>
          <w:szCs w:val="18"/>
          <w:lang w:eastAsia="es-CO"/>
        </w:rPr>
        <w:t xml:space="preserve">. &lt;Aparte subrayado CONDICIONALMENTE exequible&gt; El Congreso de la República deberá pronunciarse sobre la conveniencia de la convocatoria a plebiscito. Cuando dentro del mes siguiente a la fecha en la que el </w:t>
      </w:r>
      <w:proofErr w:type="gramStart"/>
      <w:r w:rsidRPr="00D042CB">
        <w:rPr>
          <w:rFonts w:ascii="Arial" w:eastAsia="Times New Roman" w:hAnsi="Arial" w:cs="Arial"/>
          <w:color w:val="4B4949"/>
          <w:sz w:val="18"/>
          <w:szCs w:val="18"/>
          <w:lang w:eastAsia="es-CO"/>
        </w:rPr>
        <w:t>Presidente</w:t>
      </w:r>
      <w:proofErr w:type="gramEnd"/>
      <w:r w:rsidRPr="00D042CB">
        <w:rPr>
          <w:rFonts w:ascii="Arial" w:eastAsia="Times New Roman" w:hAnsi="Arial" w:cs="Arial"/>
          <w:color w:val="4B4949"/>
          <w:sz w:val="18"/>
          <w:szCs w:val="18"/>
          <w:lang w:eastAsia="es-CO"/>
        </w:rPr>
        <w:t xml:space="preserve"> de la República haya informado sobre su decisión de realizar un plebiscito, ninguna de las dos cámaras por la mayoría simple haya manifestado su rechazo, el Presidente podrá convocarlo. </w:t>
      </w:r>
      <w:r w:rsidRPr="00D042CB">
        <w:rPr>
          <w:rFonts w:ascii="Arial" w:eastAsia="Times New Roman" w:hAnsi="Arial" w:cs="Arial"/>
          <w:color w:val="4B4949"/>
          <w:sz w:val="18"/>
          <w:szCs w:val="18"/>
          <w:u w:val="single"/>
          <w:lang w:eastAsia="es-CO"/>
        </w:rPr>
        <w:t>En ningún caso podrá versar sobre la duración del mandato presidencial ni podrá modificar la Constitución Política</w:t>
      </w:r>
      <w:r w:rsidRPr="00D042CB">
        <w:rPr>
          <w:rFonts w:ascii="Arial" w:eastAsia="Times New Roman" w:hAnsi="Arial" w:cs="Arial"/>
          <w:color w:val="4B4949"/>
          <w:sz w:val="18"/>
          <w:szCs w:val="18"/>
          <w:lang w:eastAsia="es-CO"/>
        </w:rPr>
        <w:t>;</w:t>
      </w:r>
    </w:p>
    <w:p w14:paraId="739EE7ED"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50"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1E1ACBB1" w14:textId="77777777" w:rsidTr="00D042CB">
        <w:trPr>
          <w:tblCellSpacing w:w="15" w:type="dxa"/>
        </w:trPr>
        <w:tc>
          <w:tcPr>
            <w:tcW w:w="0" w:type="auto"/>
            <w:shd w:val="clear" w:color="auto" w:fill="E6E6E6"/>
            <w:vAlign w:val="center"/>
            <w:hideMark/>
          </w:tcPr>
          <w:p w14:paraId="32345E84"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050501B2"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d) </w:t>
      </w:r>
      <w:r w:rsidRPr="00D042CB">
        <w:rPr>
          <w:rFonts w:ascii="Arial" w:eastAsia="Times New Roman" w:hAnsi="Arial" w:cs="Arial"/>
          <w:b/>
          <w:bCs/>
          <w:color w:val="000000"/>
          <w:sz w:val="18"/>
          <w:szCs w:val="18"/>
          <w:lang w:eastAsia="es-CO"/>
        </w:rPr>
        <w:t>Consultas Populares</w:t>
      </w:r>
      <w:r w:rsidRPr="00D042CB">
        <w:rPr>
          <w:rFonts w:ascii="Arial" w:eastAsia="Times New Roman" w:hAnsi="Arial" w:cs="Arial"/>
          <w:color w:val="4B4949"/>
          <w:sz w:val="18"/>
          <w:szCs w:val="18"/>
          <w:lang w:eastAsia="es-CO"/>
        </w:rPr>
        <w:t>. El Senado de la República, se pronunciará sobre la conveniencia de la convocatoria a consultas populares nacionales. Lo anterior sin perjuicio de lo establecido en el parágrafo del artículo </w:t>
      </w:r>
      <w:hyperlink r:id="rId51" w:anchor="9" w:history="1">
        <w:r w:rsidRPr="00D042CB">
          <w:rPr>
            <w:rFonts w:ascii="Arial" w:eastAsia="Times New Roman" w:hAnsi="Arial" w:cs="Arial"/>
            <w:color w:val="0073FF"/>
            <w:sz w:val="18"/>
            <w:szCs w:val="18"/>
            <w:u w:val="single"/>
            <w:lang w:eastAsia="es-CO"/>
          </w:rPr>
          <w:t>9</w:t>
        </w:r>
      </w:hyperlink>
      <w:r w:rsidRPr="00D042CB">
        <w:rPr>
          <w:rFonts w:ascii="Arial" w:eastAsia="Times New Roman" w:hAnsi="Arial" w:cs="Arial"/>
          <w:color w:val="4B4949"/>
          <w:sz w:val="18"/>
          <w:szCs w:val="18"/>
          <w:lang w:eastAsia="es-CO"/>
        </w:rPr>
        <w:t>o de la presente ley.</w:t>
      </w:r>
    </w:p>
    <w:p w14:paraId="2C1ECC9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Las asambleas, los concejos o las Juntas Administradoras Locales, según se trate, se pronunciarán sobre la conveniencia de las consultas populares de iniciativa gubernamental en las respectivas entidades territoriales;</w:t>
      </w:r>
    </w:p>
    <w:p w14:paraId="349B051C"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e) </w:t>
      </w:r>
      <w:r w:rsidRPr="00D042CB">
        <w:rPr>
          <w:rFonts w:ascii="Arial" w:eastAsia="Times New Roman" w:hAnsi="Arial" w:cs="Arial"/>
          <w:b/>
          <w:bCs/>
          <w:color w:val="000000"/>
          <w:sz w:val="18"/>
          <w:szCs w:val="18"/>
          <w:lang w:eastAsia="es-CO"/>
        </w:rPr>
        <w:t>Ley de Convocatoria a Asamblea Constituyente</w:t>
      </w:r>
      <w:r w:rsidRPr="00D042CB">
        <w:rPr>
          <w:rFonts w:ascii="Arial" w:eastAsia="Times New Roman" w:hAnsi="Arial" w:cs="Arial"/>
          <w:color w:val="4B4949"/>
          <w:sz w:val="18"/>
          <w:szCs w:val="18"/>
          <w:lang w:eastAsia="es-CO"/>
        </w:rPr>
        <w:t>. El Congreso de la República, en los términos del artículo </w:t>
      </w:r>
      <w:hyperlink r:id="rId52" w:anchor="376" w:history="1">
        <w:r w:rsidRPr="00D042CB">
          <w:rPr>
            <w:rFonts w:ascii="Arial" w:eastAsia="Times New Roman" w:hAnsi="Arial" w:cs="Arial"/>
            <w:color w:val="0073FF"/>
            <w:sz w:val="18"/>
            <w:szCs w:val="18"/>
            <w:u w:val="single"/>
            <w:lang w:eastAsia="es-CO"/>
          </w:rPr>
          <w:t>376</w:t>
        </w:r>
      </w:hyperlink>
      <w:r w:rsidRPr="00D042CB">
        <w:rPr>
          <w:rFonts w:ascii="Arial" w:eastAsia="Times New Roman" w:hAnsi="Arial" w:cs="Arial"/>
          <w:color w:val="4B4949"/>
          <w:sz w:val="18"/>
          <w:szCs w:val="18"/>
          <w:lang w:eastAsia="es-CO"/>
        </w:rPr>
        <w:t> de la Constitución, mediante ley de la República aprobada por la mayoría de los miembros de una y otra Cámara podrá consultar al pueblo la convocatoria a una asamblea constituyente para reformar la Constitución.</w:t>
      </w:r>
    </w:p>
    <w:p w14:paraId="3A1FD79E"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Además de la convocatoria de la Asamblea Constituyente, la ley deberá definir el número de delegatarios, el sistema para elegirlos, la competencia de la Asamblea, la fecha de su iniciación y su período.</w:t>
      </w:r>
    </w:p>
    <w:p w14:paraId="729F9712"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 1o.</w:t>
      </w:r>
      <w:r w:rsidRPr="00D042CB">
        <w:rPr>
          <w:rFonts w:ascii="Arial" w:eastAsia="Times New Roman" w:hAnsi="Arial" w:cs="Arial"/>
          <w:color w:val="4B4949"/>
          <w:sz w:val="18"/>
          <w:szCs w:val="18"/>
          <w:lang w:eastAsia="es-CO"/>
        </w:rPr>
        <w:t> Ninguna corporación pública podrá introducir modificaciones al proyecto de referendo de acto legislativo o de ley, ordenanza, acuerdo o resolución local de iniciativa popular que sustituyan el sentido original de la iniciativa o alteren su esencia. De presentarse cambios de forma, en cada uno de los respectivos debates, el vocero del Comité Promotor manifestará que los cambios introducidos no sustituyen el sentido original de la iniciativa.</w:t>
      </w:r>
    </w:p>
    <w:p w14:paraId="6F738319"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 2o.</w:t>
      </w:r>
      <w:r w:rsidRPr="00D042CB">
        <w:rPr>
          <w:rFonts w:ascii="Arial" w:eastAsia="Times New Roman" w:hAnsi="Arial" w:cs="Arial"/>
          <w:color w:val="4B4949"/>
          <w:sz w:val="18"/>
          <w:szCs w:val="18"/>
          <w:lang w:eastAsia="es-CO"/>
        </w:rPr>
        <w:t> Quien sea reconocido como promotor de los mecanismos de participación ciudadana, cuyo propósito sea el de derogar, modificar o crear una norma o una ley, deberá ser convocado a todas las sesiones en que se tramite el proyecto y tendrá en ellas los mismos derechos, salvo el del voto, que la ley o el reglamento confiere a los miembros de la respectiva corporación.</w:t>
      </w:r>
    </w:p>
    <w:p w14:paraId="3D795623"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53"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1FBA3D48" w14:textId="77777777" w:rsidTr="00D042CB">
        <w:trPr>
          <w:tblCellSpacing w:w="15" w:type="dxa"/>
        </w:trPr>
        <w:tc>
          <w:tcPr>
            <w:tcW w:w="0" w:type="auto"/>
            <w:shd w:val="clear" w:color="auto" w:fill="E6E6E6"/>
            <w:vAlign w:val="center"/>
            <w:hideMark/>
          </w:tcPr>
          <w:p w14:paraId="72EA4086"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46CDBC83" w14:textId="71661189"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54"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42DBC399" wp14:editId="1AACC74A">
              <wp:simplePos x="0" y="0"/>
              <wp:positionH relativeFrom="column">
                <wp:align>left</wp:align>
              </wp:positionH>
              <wp:positionV relativeFrom="line">
                <wp:posOffset>0</wp:posOffset>
              </wp:positionV>
              <wp:extent cx="152400" cy="152400"/>
              <wp:effectExtent l="0" t="0" r="0" b="0"/>
              <wp:wrapSquare wrapText="bothSides"/>
              <wp:docPr id="21" name="Imagen 21"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DC5C0C2"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24" w:name="21"/>
      <w:r w:rsidRPr="00D042CB">
        <w:rPr>
          <w:rFonts w:ascii="Arial" w:eastAsia="Times New Roman" w:hAnsi="Arial" w:cs="Arial"/>
          <w:b/>
          <w:bCs/>
          <w:color w:val="BE9E55"/>
          <w:sz w:val="18"/>
          <w:szCs w:val="18"/>
          <w:lang w:eastAsia="es-CO"/>
        </w:rPr>
        <w:t>ARTÍCULO 21. REVISIÓN PREVIA DE CONSTITUCIONALIDAD.</w:t>
      </w:r>
      <w:bookmarkEnd w:id="24"/>
      <w:r w:rsidRPr="00D042CB">
        <w:rPr>
          <w:rFonts w:ascii="Arial" w:eastAsia="Times New Roman" w:hAnsi="Arial" w:cs="Arial"/>
          <w:color w:val="4B4949"/>
          <w:sz w:val="18"/>
          <w:szCs w:val="18"/>
          <w:lang w:eastAsia="es-CO"/>
        </w:rPr>
        <w:t> No se podrán promover mecanismos de participación democrática sobre iniciativas inconstitucionales. Para tal efecto:</w:t>
      </w:r>
    </w:p>
    <w:p w14:paraId="0680C426"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lastRenderedPageBreak/>
        <w:t>a) La Corte Constitucional revisará previamente el texto que se somete a referendo constitucional y el texto que se somete a consulta popular para la convocatoria a una Asamblea Constituyente;</w:t>
      </w:r>
    </w:p>
    <w:p w14:paraId="14F187FA"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55"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68DE81A9" w14:textId="77777777" w:rsidTr="00D042CB">
        <w:trPr>
          <w:tblCellSpacing w:w="15" w:type="dxa"/>
        </w:trPr>
        <w:tc>
          <w:tcPr>
            <w:tcW w:w="0" w:type="auto"/>
            <w:shd w:val="clear" w:color="auto" w:fill="E6E6E6"/>
            <w:vAlign w:val="center"/>
            <w:hideMark/>
          </w:tcPr>
          <w:p w14:paraId="10FA2EB5"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3B211B2B"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56" w:history="1">
        <w:r w:rsidRPr="00D042CB">
          <w:rPr>
            <w:rFonts w:ascii="Arial" w:eastAsia="Times New Roman" w:hAnsi="Arial" w:cs="Arial"/>
            <w:color w:val="188A8A"/>
            <w:sz w:val="18"/>
            <w:szCs w:val="18"/>
            <w:u w:val="single"/>
            <w:shd w:val="clear" w:color="auto" w:fill="E6E6E6"/>
            <w:lang w:eastAsia="es-CO"/>
          </w:rPr>
          <w:t>Texto del Proyecto de Ley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50415D46" w14:textId="77777777" w:rsidTr="00D042CB">
        <w:trPr>
          <w:tblCellSpacing w:w="15" w:type="dxa"/>
        </w:trPr>
        <w:tc>
          <w:tcPr>
            <w:tcW w:w="0" w:type="auto"/>
            <w:shd w:val="clear" w:color="auto" w:fill="E6E6E6"/>
            <w:vAlign w:val="center"/>
            <w:hideMark/>
          </w:tcPr>
          <w:p w14:paraId="001C143F"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76A41C98"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b) Los tribunales de la jurisdicción de lo contencioso-administrativo competentes se pronunciarán sobre la constitucionalidad del mecanismo de participación democrática a realizarse.</w:t>
      </w:r>
    </w:p>
    <w:p w14:paraId="10E9FD77"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Todo proceso de revisión previa de constitucionalidad de convocatorias a mecanismos de participación democrática deberá permitir un período de fijación en lista de diez días, para que cualquier ciudadano impugne o coadyuve la constitucionalidad de la propuesta y el Ministerio Público rinda su concepto.</w:t>
      </w:r>
    </w:p>
    <w:p w14:paraId="7BAD76A6"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bookmarkStart w:id="25" w:name="TÍTULO_III"/>
      <w:r w:rsidRPr="00D042CB">
        <w:rPr>
          <w:rFonts w:ascii="Arial" w:eastAsia="Times New Roman" w:hAnsi="Arial" w:cs="Arial"/>
          <w:b/>
          <w:bCs/>
          <w:color w:val="BE9E55"/>
          <w:sz w:val="18"/>
          <w:szCs w:val="18"/>
          <w:lang w:eastAsia="es-CO"/>
        </w:rPr>
        <w:t>TÍTULO III.</w:t>
      </w:r>
      <w:bookmarkEnd w:id="25"/>
    </w:p>
    <w:p w14:paraId="48ADB5E4"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DE LOS MECANISMOS DE PARTICIPACIÓN CIUDADANA EN CORPORACIONES PÚBLICAS.</w:t>
      </w:r>
    </w:p>
    <w:p w14:paraId="4B27C1C5"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bookmarkStart w:id="26" w:name="CAPÍTULO_I-III"/>
      <w:r w:rsidRPr="00D042CB">
        <w:rPr>
          <w:rFonts w:ascii="Arial" w:eastAsia="Times New Roman" w:hAnsi="Arial" w:cs="Arial"/>
          <w:b/>
          <w:bCs/>
          <w:color w:val="BE9E55"/>
          <w:sz w:val="18"/>
          <w:szCs w:val="18"/>
          <w:lang w:eastAsia="es-CO"/>
        </w:rPr>
        <w:t>CAPÍTULO I.</w:t>
      </w:r>
      <w:bookmarkEnd w:id="26"/>
    </w:p>
    <w:p w14:paraId="4F418984"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DEL CABILDO ABIERTO.</w:t>
      </w:r>
    </w:p>
    <w:p w14:paraId="20457CD3" w14:textId="6DC88717"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57"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03EB9ECD" wp14:editId="342AECBB">
              <wp:simplePos x="0" y="0"/>
              <wp:positionH relativeFrom="column">
                <wp:align>left</wp:align>
              </wp:positionH>
              <wp:positionV relativeFrom="line">
                <wp:posOffset>0</wp:posOffset>
              </wp:positionV>
              <wp:extent cx="152400" cy="152400"/>
              <wp:effectExtent l="0" t="0" r="0" b="0"/>
              <wp:wrapSquare wrapText="bothSides"/>
              <wp:docPr id="20" name="Imagen 20"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4D26566"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27" w:name="22"/>
      <w:r w:rsidRPr="00D042CB">
        <w:rPr>
          <w:rFonts w:ascii="Arial" w:eastAsia="Times New Roman" w:hAnsi="Arial" w:cs="Arial"/>
          <w:b/>
          <w:bCs/>
          <w:color w:val="BE9E55"/>
          <w:sz w:val="18"/>
          <w:szCs w:val="18"/>
          <w:lang w:eastAsia="es-CO"/>
        </w:rPr>
        <w:t>ARTÍCULO 22. CABILDO ABIERTO.</w:t>
      </w:r>
      <w:bookmarkEnd w:id="27"/>
      <w:r w:rsidRPr="00D042CB">
        <w:rPr>
          <w:rFonts w:ascii="Arial" w:eastAsia="Times New Roman" w:hAnsi="Arial" w:cs="Arial"/>
          <w:color w:val="4B4949"/>
          <w:sz w:val="18"/>
          <w:szCs w:val="18"/>
          <w:lang w:eastAsia="es-CO"/>
        </w:rPr>
        <w:t> En cada período de sesiones ordinarias de las asambleas departamentales, los concejos municipales o distritales, o de las Juntas Administradoras Locales, podrán celebrarse cabildos abiertos en los que, por iniciativa de un número no inferior al cinco por mil de los ciudadanos del censo electoral del respectivo departamento, municipio, distrito, localidad o comuna, se considerarán los asuntos que los residentes soliciten sean estudiados, siempre ,y cuando sean de competencia de la respectiva corporación. Es obligación del alcalde o gobernador, según sea el caso, asistir al cabildo abierto.</w:t>
      </w:r>
    </w:p>
    <w:p w14:paraId="3688BD1E"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58"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48F03DEA" w14:textId="77777777" w:rsidTr="00D042CB">
        <w:trPr>
          <w:tblCellSpacing w:w="15" w:type="dxa"/>
        </w:trPr>
        <w:tc>
          <w:tcPr>
            <w:tcW w:w="0" w:type="auto"/>
            <w:shd w:val="clear" w:color="auto" w:fill="E6E6E6"/>
            <w:vAlign w:val="center"/>
            <w:hideMark/>
          </w:tcPr>
          <w:p w14:paraId="36CBF12E"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4384096F" w14:textId="17FE2EF2"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59"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0137C644" wp14:editId="5FAA013B">
              <wp:simplePos x="0" y="0"/>
              <wp:positionH relativeFrom="column">
                <wp:align>left</wp:align>
              </wp:positionH>
              <wp:positionV relativeFrom="line">
                <wp:posOffset>0</wp:posOffset>
              </wp:positionV>
              <wp:extent cx="152400" cy="152400"/>
              <wp:effectExtent l="0" t="0" r="0" b="0"/>
              <wp:wrapSquare wrapText="bothSides"/>
              <wp:docPr id="19" name="Imagen 19"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3B6AAF7B"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28" w:name="23"/>
      <w:r w:rsidRPr="00D042CB">
        <w:rPr>
          <w:rFonts w:ascii="Arial" w:eastAsia="Times New Roman" w:hAnsi="Arial" w:cs="Arial"/>
          <w:b/>
          <w:bCs/>
          <w:color w:val="BE9E55"/>
          <w:sz w:val="18"/>
          <w:szCs w:val="18"/>
          <w:lang w:eastAsia="es-CO"/>
        </w:rPr>
        <w:t>ARTÍCULO 23. MATERIAS DEL CABILDO ABIERTO.</w:t>
      </w:r>
      <w:bookmarkEnd w:id="28"/>
      <w:r w:rsidRPr="00D042CB">
        <w:rPr>
          <w:rFonts w:ascii="Arial" w:eastAsia="Times New Roman" w:hAnsi="Arial" w:cs="Arial"/>
          <w:color w:val="4B4949"/>
          <w:sz w:val="18"/>
          <w:szCs w:val="18"/>
          <w:lang w:eastAsia="es-CO"/>
        </w:rPr>
        <w:t> Podrán ser materias del cabildo abierto cualquier asunto de interés para la comunidad. En caso de que la comunidad cite al gobernador o alcalde respectivo deberá adjuntar a las firmas el cuestionario que formulará al funcionario, el cual debe ser remitido por el presidente de la corporación, con mínimo cinco (5) días de antelación a la celebración del cabildo. El cuestionario deberá versar únicamente sobre asuntos de competencia del funcionario citado.</w:t>
      </w:r>
    </w:p>
    <w:p w14:paraId="06DAD87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w:t>
      </w:r>
      <w:r w:rsidRPr="00D042CB">
        <w:rPr>
          <w:rFonts w:ascii="Arial" w:eastAsia="Times New Roman" w:hAnsi="Arial" w:cs="Arial"/>
          <w:color w:val="4B4949"/>
          <w:sz w:val="18"/>
          <w:szCs w:val="18"/>
          <w:lang w:eastAsia="es-CO"/>
        </w:rPr>
        <w:t> A través del Cabildo Abierto no se podrán presentar iniciativas de ordenanza, acuerdo o resolución local.</w:t>
      </w:r>
    </w:p>
    <w:p w14:paraId="14AE9AA8"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60"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242D5CE8" w14:textId="77777777" w:rsidTr="00D042CB">
        <w:trPr>
          <w:tblCellSpacing w:w="15" w:type="dxa"/>
        </w:trPr>
        <w:tc>
          <w:tcPr>
            <w:tcW w:w="0" w:type="auto"/>
            <w:shd w:val="clear" w:color="auto" w:fill="E6E6E6"/>
            <w:vAlign w:val="center"/>
            <w:hideMark/>
          </w:tcPr>
          <w:p w14:paraId="096FE192"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7B51F2F7" w14:textId="3735B6B1"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61"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53BDBD20" wp14:editId="3E93627A">
              <wp:simplePos x="0" y="0"/>
              <wp:positionH relativeFrom="column">
                <wp:align>left</wp:align>
              </wp:positionH>
              <wp:positionV relativeFrom="line">
                <wp:posOffset>0</wp:posOffset>
              </wp:positionV>
              <wp:extent cx="152400" cy="152400"/>
              <wp:effectExtent l="0" t="0" r="0" b="0"/>
              <wp:wrapSquare wrapText="bothSides"/>
              <wp:docPr id="18" name="Imagen 18"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11E2E0E6"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29" w:name="24"/>
      <w:r w:rsidRPr="00D042CB">
        <w:rPr>
          <w:rFonts w:ascii="Arial" w:eastAsia="Times New Roman" w:hAnsi="Arial" w:cs="Arial"/>
          <w:b/>
          <w:bCs/>
          <w:color w:val="BE9E55"/>
          <w:sz w:val="18"/>
          <w:szCs w:val="18"/>
          <w:lang w:eastAsia="es-CO"/>
        </w:rPr>
        <w:t>ARTÍCULO 24. PRELACIÓN.</w:t>
      </w:r>
      <w:bookmarkEnd w:id="29"/>
      <w:r w:rsidRPr="00D042CB">
        <w:rPr>
          <w:rFonts w:ascii="Arial" w:eastAsia="Times New Roman" w:hAnsi="Arial" w:cs="Arial"/>
          <w:color w:val="4B4949"/>
          <w:sz w:val="18"/>
          <w:szCs w:val="18"/>
          <w:lang w:eastAsia="es-CO"/>
        </w:rPr>
        <w:t> En los cabildos abiertos se tratarán los temas en el orden en que fueron presentados ante la respectiva secretaría. En todo caso el Cabildo Abierto deberá celebrarse a más tardar un mes después de la radicación de la petición.</w:t>
      </w:r>
    </w:p>
    <w:p w14:paraId="47DA9213"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w:t>
      </w:r>
      <w:r w:rsidRPr="00D042CB">
        <w:rPr>
          <w:rFonts w:ascii="Arial" w:eastAsia="Times New Roman" w:hAnsi="Arial" w:cs="Arial"/>
          <w:color w:val="4B4949"/>
          <w:sz w:val="18"/>
          <w:szCs w:val="18"/>
          <w:lang w:eastAsia="es-CO"/>
        </w:rPr>
        <w:t> Si la petición fue radicada cuando la respectiva corporación no se encontraba en sesiones ordinarias, el cabildo deberá realizarse en el siguiente periodo de sesiones ordinarias.</w:t>
      </w:r>
    </w:p>
    <w:p w14:paraId="2722B76C"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62"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27ADA5D1" w14:textId="77777777" w:rsidTr="00D042CB">
        <w:trPr>
          <w:tblCellSpacing w:w="15" w:type="dxa"/>
        </w:trPr>
        <w:tc>
          <w:tcPr>
            <w:tcW w:w="0" w:type="auto"/>
            <w:shd w:val="clear" w:color="auto" w:fill="E6E6E6"/>
            <w:vAlign w:val="center"/>
            <w:hideMark/>
          </w:tcPr>
          <w:p w14:paraId="79E37FE0"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4BBF1D10" w14:textId="0E968B44"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63"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310D44BA" wp14:editId="023D8EA9">
              <wp:simplePos x="0" y="0"/>
              <wp:positionH relativeFrom="column">
                <wp:align>left</wp:align>
              </wp:positionH>
              <wp:positionV relativeFrom="line">
                <wp:posOffset>0</wp:posOffset>
              </wp:positionV>
              <wp:extent cx="152400" cy="152400"/>
              <wp:effectExtent l="0" t="0" r="0" b="0"/>
              <wp:wrapSquare wrapText="bothSides"/>
              <wp:docPr id="17" name="Imagen 17"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7DCADC5B"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30" w:name="25"/>
      <w:r w:rsidRPr="00D042CB">
        <w:rPr>
          <w:rFonts w:ascii="Arial" w:eastAsia="Times New Roman" w:hAnsi="Arial" w:cs="Arial"/>
          <w:b/>
          <w:bCs/>
          <w:color w:val="BE9E55"/>
          <w:sz w:val="18"/>
          <w:szCs w:val="18"/>
          <w:lang w:eastAsia="es-CO"/>
        </w:rPr>
        <w:t>ARTÍCULO 25. DIFUSIÓN DEL CABILDO.</w:t>
      </w:r>
      <w:bookmarkEnd w:id="30"/>
      <w:r w:rsidRPr="00D042CB">
        <w:rPr>
          <w:rFonts w:ascii="Arial" w:eastAsia="Times New Roman" w:hAnsi="Arial" w:cs="Arial"/>
          <w:color w:val="4B4949"/>
          <w:sz w:val="18"/>
          <w:szCs w:val="18"/>
          <w:lang w:eastAsia="es-CO"/>
        </w:rPr>
        <w:t> Las asambleas departamentales, los concejos municipales o distritales, o las Juntas Administradoras Locales, dispondrán la amplia difusión de la fecha, el lugar y de los temas que serán objeto del cabildo abierto. Para ello, antes de la fecha de vencimiento para la fecha de inscripción de los participantes ordenarán la publicación de dos convocatorias en un medio de comunicación de amplia circulación y cuando fuere posible, a través de las tecnologías de la información y las comunicaciones, con diferencia no menor de diez (10) días entre una y otra.</w:t>
      </w:r>
    </w:p>
    <w:p w14:paraId="6A747E53"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64"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50F3E40F" w14:textId="77777777" w:rsidTr="00D042CB">
        <w:trPr>
          <w:tblCellSpacing w:w="15" w:type="dxa"/>
        </w:trPr>
        <w:tc>
          <w:tcPr>
            <w:tcW w:w="0" w:type="auto"/>
            <w:shd w:val="clear" w:color="auto" w:fill="E6E6E6"/>
            <w:vAlign w:val="center"/>
            <w:hideMark/>
          </w:tcPr>
          <w:p w14:paraId="121F2C51"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3780FBFA" w14:textId="6B7D7F07"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65"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6512592D" wp14:editId="6C4D45D9">
              <wp:simplePos x="0" y="0"/>
              <wp:positionH relativeFrom="column">
                <wp:align>left</wp:align>
              </wp:positionH>
              <wp:positionV relativeFrom="line">
                <wp:posOffset>0</wp:posOffset>
              </wp:positionV>
              <wp:extent cx="152400" cy="152400"/>
              <wp:effectExtent l="0" t="0" r="0" b="0"/>
              <wp:wrapSquare wrapText="bothSides"/>
              <wp:docPr id="16" name="Imagen 16"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6A4F683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31" w:name="26"/>
      <w:r w:rsidRPr="00D042CB">
        <w:rPr>
          <w:rFonts w:ascii="Arial" w:eastAsia="Times New Roman" w:hAnsi="Arial" w:cs="Arial"/>
          <w:b/>
          <w:bCs/>
          <w:color w:val="BE9E55"/>
          <w:sz w:val="18"/>
          <w:szCs w:val="18"/>
          <w:lang w:eastAsia="es-CO"/>
        </w:rPr>
        <w:t>ARTÍCULO 26. ASISTENCIA Y VOCERÍA.</w:t>
      </w:r>
      <w:bookmarkEnd w:id="31"/>
      <w:r w:rsidRPr="00D042CB">
        <w:rPr>
          <w:rFonts w:ascii="Arial" w:eastAsia="Times New Roman" w:hAnsi="Arial" w:cs="Arial"/>
          <w:color w:val="4B4949"/>
          <w:sz w:val="18"/>
          <w:szCs w:val="18"/>
          <w:lang w:eastAsia="es-CO"/>
        </w:rPr>
        <w:t> A los cabildos abiertos podrán asistir todas las personas que tengan interés en el asunto. Además del vocero podrán intervenir, por la misma duración a la que tienen derecho por reglamento los respectivos miembros de la corporación, quienes se inscriban a más tardar tres (3) días antes de la realización del cabildo en la secretaría respectiva, presentando para ello un resumen escrito de su intervención.</w:t>
      </w:r>
    </w:p>
    <w:p w14:paraId="035D908D"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Luego de las intervenciones de la comunidad, el gobernador o alcalde respectivo, dará respuesta a sus inquietudes. Una vez surtido este trámite, los miembros de la corporación podrán hacer uso de la palabra en los términos que establece el reglamento.</w:t>
      </w:r>
    </w:p>
    <w:p w14:paraId="377F15C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w:t>
      </w:r>
      <w:r w:rsidRPr="00D042CB">
        <w:rPr>
          <w:rFonts w:ascii="Arial" w:eastAsia="Times New Roman" w:hAnsi="Arial" w:cs="Arial"/>
          <w:color w:val="4B4949"/>
          <w:sz w:val="18"/>
          <w:szCs w:val="18"/>
          <w:lang w:eastAsia="es-CO"/>
        </w:rPr>
        <w:t> Cuando los medios tecnológicos lo permitan, los cabildos abiertos serán transmitidos en directo a través de Internet o a través de los mecanismos que estime conveniente la mesa directiva de la corporación respectiva.</w:t>
      </w:r>
    </w:p>
    <w:p w14:paraId="2173B270"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66"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538B72BF" w14:textId="77777777" w:rsidTr="00D042CB">
        <w:trPr>
          <w:tblCellSpacing w:w="15" w:type="dxa"/>
        </w:trPr>
        <w:tc>
          <w:tcPr>
            <w:tcW w:w="0" w:type="auto"/>
            <w:shd w:val="clear" w:color="auto" w:fill="E6E6E6"/>
            <w:vAlign w:val="center"/>
            <w:hideMark/>
          </w:tcPr>
          <w:p w14:paraId="6E91342C"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27BDDF7B" w14:textId="2811DB1F"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67"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0BF409BD" wp14:editId="397DBEEA">
              <wp:simplePos x="0" y="0"/>
              <wp:positionH relativeFrom="column">
                <wp:align>left</wp:align>
              </wp:positionH>
              <wp:positionV relativeFrom="line">
                <wp:posOffset>0</wp:posOffset>
              </wp:positionV>
              <wp:extent cx="152400" cy="152400"/>
              <wp:effectExtent l="0" t="0" r="0" b="0"/>
              <wp:wrapSquare wrapText="bothSides"/>
              <wp:docPr id="15" name="Imagen 15"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3A334036"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32" w:name="27"/>
      <w:r w:rsidRPr="00D042CB">
        <w:rPr>
          <w:rFonts w:ascii="Arial" w:eastAsia="Times New Roman" w:hAnsi="Arial" w:cs="Arial"/>
          <w:b/>
          <w:bCs/>
          <w:color w:val="BE9E55"/>
          <w:sz w:val="18"/>
          <w:szCs w:val="18"/>
          <w:lang w:eastAsia="es-CO"/>
        </w:rPr>
        <w:t>ARTÍCULO 27. CITACIÓN A FUNCIONARIOS DE LA ADMINISTRACIÓN.</w:t>
      </w:r>
      <w:bookmarkEnd w:id="32"/>
      <w:r w:rsidRPr="00D042CB">
        <w:rPr>
          <w:rFonts w:ascii="Arial" w:eastAsia="Times New Roman" w:hAnsi="Arial" w:cs="Arial"/>
          <w:color w:val="4B4949"/>
          <w:sz w:val="18"/>
          <w:szCs w:val="18"/>
          <w:lang w:eastAsia="es-CO"/>
        </w:rPr>
        <w:t> Por solicitud ciudadana derivada de la convocatoria al cabildo abierto conforme a esta ley, podrá citarse a funcionarios departamentales, municipales, distritales o locales, con cinco (5) días de anticipación, para que concurran al cabildo y para que respondan, oralmente o por escrito, sobre hechos relacionados con el tema del cabildo. La desatención a la citación sin justa causa, será causal de mala conducta.</w:t>
      </w:r>
    </w:p>
    <w:p w14:paraId="5B3318E1"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68"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219D169A" w14:textId="77777777" w:rsidTr="00D042CB">
        <w:trPr>
          <w:tblCellSpacing w:w="15" w:type="dxa"/>
        </w:trPr>
        <w:tc>
          <w:tcPr>
            <w:tcW w:w="0" w:type="auto"/>
            <w:shd w:val="clear" w:color="auto" w:fill="E6E6E6"/>
            <w:vAlign w:val="center"/>
            <w:hideMark/>
          </w:tcPr>
          <w:p w14:paraId="524E5198"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2278D861" w14:textId="5BFC25EA"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69"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2C264AD6" wp14:editId="5B68BBDE">
              <wp:simplePos x="0" y="0"/>
              <wp:positionH relativeFrom="column">
                <wp:align>left</wp:align>
              </wp:positionH>
              <wp:positionV relativeFrom="line">
                <wp:posOffset>0</wp:posOffset>
              </wp:positionV>
              <wp:extent cx="152400" cy="152400"/>
              <wp:effectExtent l="0" t="0" r="0" b="0"/>
              <wp:wrapSquare wrapText="bothSides"/>
              <wp:docPr id="14" name="Imagen 14"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1111D13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33" w:name="28"/>
      <w:r w:rsidRPr="00D042CB">
        <w:rPr>
          <w:rFonts w:ascii="Arial" w:eastAsia="Times New Roman" w:hAnsi="Arial" w:cs="Arial"/>
          <w:b/>
          <w:bCs/>
          <w:color w:val="BE9E55"/>
          <w:sz w:val="18"/>
          <w:szCs w:val="18"/>
          <w:lang w:eastAsia="es-CO"/>
        </w:rPr>
        <w:t>ARTÍCULO 28. OBLIGATORIEDAD DE LA RESPUESTA.</w:t>
      </w:r>
      <w:bookmarkEnd w:id="33"/>
      <w:r w:rsidRPr="00D042CB">
        <w:rPr>
          <w:rFonts w:ascii="Arial" w:eastAsia="Times New Roman" w:hAnsi="Arial" w:cs="Arial"/>
          <w:color w:val="4B4949"/>
          <w:sz w:val="18"/>
          <w:szCs w:val="18"/>
          <w:lang w:eastAsia="es-CO"/>
        </w:rPr>
        <w:t> Una semana después de la realización del cabildo se realizará una sesión a la cual serán invitados todos los que participaron en él, en la cual se expondrán las respuestas razonadas a los planteamientos y solicitudes presentadas por los ciudadanos, por parte del mandatario y de la corporación respectiva, según sea el caso.</w:t>
      </w:r>
    </w:p>
    <w:p w14:paraId="7392F10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Cuando se trate de un asunto relacionado con inversiones públicas municipales, distritales o locales, la respuesta deberá señalar el orden de prioridad de las mismas dentro del presupuesto y los planes correspondientes.</w:t>
      </w:r>
    </w:p>
    <w:p w14:paraId="6734BA02"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Si las respuestas dadas por los funcionarios incluyen compromisos decisorios, estos serán obligatorios y las autoridades deberán proceder a su ejecución, previo cumplimiento de las normas constitucionales y legales.</w:t>
      </w:r>
    </w:p>
    <w:p w14:paraId="6CD0C84C"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70"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5CEA60C2" w14:textId="77777777" w:rsidTr="00D042CB">
        <w:trPr>
          <w:tblCellSpacing w:w="15" w:type="dxa"/>
        </w:trPr>
        <w:tc>
          <w:tcPr>
            <w:tcW w:w="0" w:type="auto"/>
            <w:shd w:val="clear" w:color="auto" w:fill="E6E6E6"/>
            <w:vAlign w:val="center"/>
            <w:hideMark/>
          </w:tcPr>
          <w:p w14:paraId="20A10931"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268EE904" w14:textId="6DBFE06E"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71"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5411CFE7" wp14:editId="1B502C4A">
              <wp:simplePos x="0" y="0"/>
              <wp:positionH relativeFrom="column">
                <wp:align>left</wp:align>
              </wp:positionH>
              <wp:positionV relativeFrom="line">
                <wp:posOffset>0</wp:posOffset>
              </wp:positionV>
              <wp:extent cx="152400" cy="152400"/>
              <wp:effectExtent l="0" t="0" r="0" b="0"/>
              <wp:wrapSquare wrapText="bothSides"/>
              <wp:docPr id="13" name="Imagen 13"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38DFF9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34" w:name="29"/>
      <w:r w:rsidRPr="00D042CB">
        <w:rPr>
          <w:rFonts w:ascii="Arial" w:eastAsia="Times New Roman" w:hAnsi="Arial" w:cs="Arial"/>
          <w:b/>
          <w:bCs/>
          <w:color w:val="BE9E55"/>
          <w:sz w:val="18"/>
          <w:szCs w:val="18"/>
          <w:lang w:eastAsia="es-CO"/>
        </w:rPr>
        <w:t>ARTÍCULO 29. SESIONES FUERA DE LA SEDE.</w:t>
      </w:r>
      <w:bookmarkEnd w:id="34"/>
      <w:r w:rsidRPr="00D042CB">
        <w:rPr>
          <w:rFonts w:ascii="Arial" w:eastAsia="Times New Roman" w:hAnsi="Arial" w:cs="Arial"/>
          <w:color w:val="4B4949"/>
          <w:sz w:val="18"/>
          <w:szCs w:val="18"/>
          <w:lang w:eastAsia="es-CO"/>
        </w:rPr>
        <w:t> Cuando se trate de asuntos que afecten específicamente a un municipio, localidad, corregimiento o comuna, la sesión de la corporación pública correspondiente podrá realizarse en el sitio en que la mesa directiva y el vocero estimen conveniente de manera concertada.</w:t>
      </w:r>
    </w:p>
    <w:p w14:paraId="09923199"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72"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445FEA27" w14:textId="77777777" w:rsidTr="00D042CB">
        <w:trPr>
          <w:tblCellSpacing w:w="15" w:type="dxa"/>
        </w:trPr>
        <w:tc>
          <w:tcPr>
            <w:tcW w:w="0" w:type="auto"/>
            <w:shd w:val="clear" w:color="auto" w:fill="E6E6E6"/>
            <w:vAlign w:val="center"/>
            <w:hideMark/>
          </w:tcPr>
          <w:p w14:paraId="48857ED7"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2EA6B129" w14:textId="51A1D3BB"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73"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4A61BACB" wp14:editId="791FBCFB">
              <wp:simplePos x="0" y="0"/>
              <wp:positionH relativeFrom="column">
                <wp:align>left</wp:align>
              </wp:positionH>
              <wp:positionV relativeFrom="line">
                <wp:posOffset>0</wp:posOffset>
              </wp:positionV>
              <wp:extent cx="152400" cy="152400"/>
              <wp:effectExtent l="0" t="0" r="0" b="0"/>
              <wp:wrapSquare wrapText="bothSides"/>
              <wp:docPr id="12" name="Imagen 12"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4BE7475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35" w:name="30"/>
      <w:r w:rsidRPr="00D042CB">
        <w:rPr>
          <w:rFonts w:ascii="Arial" w:eastAsia="Times New Roman" w:hAnsi="Arial" w:cs="Arial"/>
          <w:b/>
          <w:bCs/>
          <w:color w:val="BE9E55"/>
          <w:sz w:val="18"/>
          <w:szCs w:val="18"/>
          <w:lang w:eastAsia="es-CO"/>
        </w:rPr>
        <w:t>ARTÍCULO 30. REGISTRO DE LOS CABILDOS ABIERTOS.</w:t>
      </w:r>
      <w:bookmarkEnd w:id="35"/>
      <w:r w:rsidRPr="00D042CB">
        <w:rPr>
          <w:rFonts w:ascii="Arial" w:eastAsia="Times New Roman" w:hAnsi="Arial" w:cs="Arial"/>
          <w:color w:val="4B4949"/>
          <w:sz w:val="18"/>
          <w:szCs w:val="18"/>
          <w:lang w:eastAsia="es-CO"/>
        </w:rPr>
        <w:t> La Secretaría General de cada corporación pública deberá llevar un registro de cada cabildo abierto, los temas que se abordaron, los participantes, las memorias del evento y la respuesta de la corporación respectiva. Copia de este registro se enviará al Consejo Nacional de Participación y al Consejo Nacional Electoral.</w:t>
      </w:r>
    </w:p>
    <w:p w14:paraId="02A7A49A"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74"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7E3A1A4F" w14:textId="77777777" w:rsidTr="00D042CB">
        <w:trPr>
          <w:tblCellSpacing w:w="15" w:type="dxa"/>
        </w:trPr>
        <w:tc>
          <w:tcPr>
            <w:tcW w:w="0" w:type="auto"/>
            <w:shd w:val="clear" w:color="auto" w:fill="E6E6E6"/>
            <w:vAlign w:val="center"/>
            <w:hideMark/>
          </w:tcPr>
          <w:p w14:paraId="746267EE"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16103B6B"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bookmarkStart w:id="36" w:name="CAPÍTULO_II-III"/>
      <w:r w:rsidRPr="00D042CB">
        <w:rPr>
          <w:rFonts w:ascii="Arial" w:eastAsia="Times New Roman" w:hAnsi="Arial" w:cs="Arial"/>
          <w:b/>
          <w:bCs/>
          <w:color w:val="BE9E55"/>
          <w:sz w:val="18"/>
          <w:szCs w:val="18"/>
          <w:lang w:eastAsia="es-CO"/>
        </w:rPr>
        <w:t>CAPÍTULO II.</w:t>
      </w:r>
      <w:bookmarkEnd w:id="36"/>
    </w:p>
    <w:p w14:paraId="07C42EF2"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CONVOCATORIA Y CAMPAÑA DE MECANISMOS DE PARTICIPACIÓN CIUDADANA.</w:t>
      </w:r>
    </w:p>
    <w:p w14:paraId="0C49C0CD" w14:textId="5C7B887A"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75"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2247CA7A" wp14:editId="21C34D5C">
              <wp:simplePos x="0" y="0"/>
              <wp:positionH relativeFrom="column">
                <wp:align>left</wp:align>
              </wp:positionH>
              <wp:positionV relativeFrom="line">
                <wp:posOffset>0</wp:posOffset>
              </wp:positionV>
              <wp:extent cx="152400" cy="152400"/>
              <wp:effectExtent l="0" t="0" r="0" b="0"/>
              <wp:wrapSquare wrapText="bothSides"/>
              <wp:docPr id="11" name="Imagen 11"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04762582"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37" w:name="31"/>
      <w:r w:rsidRPr="00D042CB">
        <w:rPr>
          <w:rFonts w:ascii="Arial" w:eastAsia="Times New Roman" w:hAnsi="Arial" w:cs="Arial"/>
          <w:b/>
          <w:bCs/>
          <w:color w:val="BE9E55"/>
          <w:sz w:val="18"/>
          <w:szCs w:val="18"/>
          <w:lang w:eastAsia="es-CO"/>
        </w:rPr>
        <w:t>ARTÍCULO 31. REQUISITOS ESPECIALES PREVIOS AL TRÁMITE.</w:t>
      </w:r>
      <w:bookmarkEnd w:id="37"/>
      <w:r w:rsidRPr="00D042CB">
        <w:rPr>
          <w:rFonts w:ascii="Arial" w:eastAsia="Times New Roman" w:hAnsi="Arial" w:cs="Arial"/>
          <w:color w:val="4B4949"/>
          <w:sz w:val="18"/>
          <w:szCs w:val="18"/>
          <w:lang w:eastAsia="es-CO"/>
        </w:rPr>
        <w:t> Antes de iniciar el trámite ante corporaciones públicas de cada mecanismo de participación ciudadana se requiere.</w:t>
      </w:r>
    </w:p>
    <w:p w14:paraId="4389A612"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lastRenderedPageBreak/>
        <w:t>a) </w:t>
      </w:r>
      <w:r w:rsidRPr="00D042CB">
        <w:rPr>
          <w:rFonts w:ascii="Arial" w:eastAsia="Times New Roman" w:hAnsi="Arial" w:cs="Arial"/>
          <w:i/>
          <w:iCs/>
          <w:color w:val="4B4949"/>
          <w:sz w:val="18"/>
          <w:szCs w:val="18"/>
          <w:lang w:eastAsia="es-CO"/>
        </w:rPr>
        <w:t>Para el plebiscito</w:t>
      </w:r>
      <w:r w:rsidRPr="00D042CB">
        <w:rPr>
          <w:rFonts w:ascii="Arial" w:eastAsia="Times New Roman" w:hAnsi="Arial" w:cs="Arial"/>
          <w:color w:val="4B4949"/>
          <w:sz w:val="18"/>
          <w:szCs w:val="18"/>
          <w:lang w:eastAsia="es-CO"/>
        </w:rPr>
        <w:t xml:space="preserve">. El </w:t>
      </w:r>
      <w:proofErr w:type="gramStart"/>
      <w:r w:rsidRPr="00D042CB">
        <w:rPr>
          <w:rFonts w:ascii="Arial" w:eastAsia="Times New Roman" w:hAnsi="Arial" w:cs="Arial"/>
          <w:color w:val="4B4949"/>
          <w:sz w:val="18"/>
          <w:szCs w:val="18"/>
          <w:lang w:eastAsia="es-CO"/>
        </w:rPr>
        <w:t>Presidente</w:t>
      </w:r>
      <w:proofErr w:type="gramEnd"/>
      <w:r w:rsidRPr="00D042CB">
        <w:rPr>
          <w:rFonts w:ascii="Arial" w:eastAsia="Times New Roman" w:hAnsi="Arial" w:cs="Arial"/>
          <w:color w:val="4B4949"/>
          <w:sz w:val="18"/>
          <w:szCs w:val="18"/>
          <w:lang w:eastAsia="es-CO"/>
        </w:rPr>
        <w:t xml:space="preserve"> de la República, con la firma de todos los ministros, deberá informar inmediatamente al Congreso de la República su decisión de convocar un plebiscito, las razones para hacerlo y la fecha en que se llevará a cabo la votación, la cual no podrá coincidir con otra elección;</w:t>
      </w:r>
    </w:p>
    <w:p w14:paraId="12B4E313"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 xml:space="preserve">b) Para la Consulta popular nacional. El </w:t>
      </w:r>
      <w:proofErr w:type="gramStart"/>
      <w:r w:rsidRPr="00D042CB">
        <w:rPr>
          <w:rFonts w:ascii="Arial" w:eastAsia="Times New Roman" w:hAnsi="Arial" w:cs="Arial"/>
          <w:color w:val="4B4949"/>
          <w:sz w:val="18"/>
          <w:szCs w:val="18"/>
          <w:lang w:eastAsia="es-CO"/>
        </w:rPr>
        <w:t>Presidente</w:t>
      </w:r>
      <w:proofErr w:type="gramEnd"/>
      <w:r w:rsidRPr="00D042CB">
        <w:rPr>
          <w:rFonts w:ascii="Arial" w:eastAsia="Times New Roman" w:hAnsi="Arial" w:cs="Arial"/>
          <w:color w:val="4B4949"/>
          <w:sz w:val="18"/>
          <w:szCs w:val="18"/>
          <w:lang w:eastAsia="es-CO"/>
        </w:rPr>
        <w:t xml:space="preserve"> de la República, con la firma de todos los ministros y previo concepto favorable del Senado de la República, podrá consultar al pueblo una decisión de trascendencia nacional. Los ciudadanos podrán convocar una consulta popular con el cinco (5%) de apoyos de los ciudadanos que conforman el censo electoral nacional;</w:t>
      </w:r>
    </w:p>
    <w:p w14:paraId="4077FDE9"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c) Para la Consulta popular a nivel departamental, distrital, municipal y local de iniciativa gubernamental. Los gobernadores y alcaldes, con la firma de los secretarios de despacho, podrán convocar consultas para que el pueblo decida sobre asuntos departamentales, municipales, distritales o locales. El diez por ciento (10%) de los ciudadanos que conforman el censo electoral del respectivo departamento, municipio o distrito, podrá solicitar que se consulte al pueblo un asunto de interés de la comunidad;</w:t>
      </w:r>
    </w:p>
    <w:p w14:paraId="56549B5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d) Los referendos de iniciativa gubernamental requieren de la firma del presidente de la República y sus ministros, los gobernadores y sus secretarios de despacho y los alcaldes y sus secretarios de despacho, según corresponda.</w:t>
      </w:r>
    </w:p>
    <w:p w14:paraId="06D89F05"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76"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5C6DADF3" w14:textId="77777777" w:rsidTr="00D042CB">
        <w:trPr>
          <w:tblCellSpacing w:w="15" w:type="dxa"/>
        </w:trPr>
        <w:tc>
          <w:tcPr>
            <w:tcW w:w="0" w:type="auto"/>
            <w:shd w:val="clear" w:color="auto" w:fill="E6E6E6"/>
            <w:vAlign w:val="center"/>
            <w:hideMark/>
          </w:tcPr>
          <w:p w14:paraId="3F5935B1"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76B73DA2" w14:textId="0E253453"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77"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372F5DCC" wp14:editId="517199C6">
              <wp:simplePos x="0" y="0"/>
              <wp:positionH relativeFrom="column">
                <wp:align>left</wp:align>
              </wp:positionH>
              <wp:positionV relativeFrom="line">
                <wp:posOffset>0</wp:posOffset>
              </wp:positionV>
              <wp:extent cx="152400" cy="152400"/>
              <wp:effectExtent l="0" t="0" r="0" b="0"/>
              <wp:wrapSquare wrapText="bothSides"/>
              <wp:docPr id="10" name="Imagen 10"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6EC4617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38" w:name="32"/>
      <w:r w:rsidRPr="00D042CB">
        <w:rPr>
          <w:rFonts w:ascii="Arial" w:eastAsia="Times New Roman" w:hAnsi="Arial" w:cs="Arial"/>
          <w:b/>
          <w:bCs/>
          <w:color w:val="BE9E55"/>
          <w:sz w:val="18"/>
          <w:szCs w:val="18"/>
          <w:lang w:eastAsia="es-CO"/>
        </w:rPr>
        <w:t>ARTÍCULO 32. CONCEPTOS PREVIOS.</w:t>
      </w:r>
      <w:bookmarkEnd w:id="38"/>
      <w:r w:rsidRPr="00D042CB">
        <w:rPr>
          <w:rFonts w:ascii="Arial" w:eastAsia="Times New Roman" w:hAnsi="Arial" w:cs="Arial"/>
          <w:color w:val="4B4949"/>
          <w:sz w:val="18"/>
          <w:szCs w:val="18"/>
          <w:lang w:eastAsia="es-CO"/>
        </w:rPr>
        <w:t> Para convocar y llevar a cabo un plebiscito o una consulta popular nacional se requiere el concepto previo de la corporación pública correspondiente.</w:t>
      </w:r>
    </w:p>
    <w:p w14:paraId="7EDB13F9"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En el término de un mes, contado a partir del cumplimiento del requisito previo del que trata el artículo anterior de la presente ley, el Congreso de la República o el Senado de la República, respectivamente, deberá pronunciarse sobre la conveniencia de la convocatoria a plebiscito o a Consulta Popular Nacional.</w:t>
      </w:r>
    </w:p>
    <w:p w14:paraId="359A3543"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Sin perjuicio de lo establecido en el parágrafo del artículo </w:t>
      </w:r>
      <w:hyperlink r:id="rId78" w:anchor="9" w:history="1">
        <w:r w:rsidRPr="00D042CB">
          <w:rPr>
            <w:rFonts w:ascii="Arial" w:eastAsia="Times New Roman" w:hAnsi="Arial" w:cs="Arial"/>
            <w:color w:val="0073FF"/>
            <w:sz w:val="18"/>
            <w:szCs w:val="18"/>
            <w:u w:val="single"/>
            <w:lang w:eastAsia="es-CO"/>
          </w:rPr>
          <w:t>9</w:t>
        </w:r>
      </w:hyperlink>
      <w:r w:rsidRPr="00D042CB">
        <w:rPr>
          <w:rFonts w:ascii="Arial" w:eastAsia="Times New Roman" w:hAnsi="Arial" w:cs="Arial"/>
          <w:color w:val="4B4949"/>
          <w:sz w:val="18"/>
          <w:szCs w:val="18"/>
          <w:lang w:eastAsia="es-CO"/>
        </w:rPr>
        <w:t>o de la presente ley, en un término de veinte (20) días, contado a partir del cumplimiento del requisito previo del que trata el artículo </w:t>
      </w:r>
      <w:hyperlink r:id="rId79" w:anchor="20" w:history="1">
        <w:r w:rsidRPr="00D042CB">
          <w:rPr>
            <w:rFonts w:ascii="Arial" w:eastAsia="Times New Roman" w:hAnsi="Arial" w:cs="Arial"/>
            <w:color w:val="0073FF"/>
            <w:sz w:val="18"/>
            <w:szCs w:val="18"/>
            <w:u w:val="single"/>
            <w:lang w:eastAsia="es-CO"/>
          </w:rPr>
          <w:t>20</w:t>
        </w:r>
      </w:hyperlink>
      <w:r w:rsidRPr="00D042CB">
        <w:rPr>
          <w:rFonts w:ascii="Arial" w:eastAsia="Times New Roman" w:hAnsi="Arial" w:cs="Arial"/>
          <w:color w:val="4B4949"/>
          <w:sz w:val="18"/>
          <w:szCs w:val="18"/>
          <w:lang w:eastAsia="es-CO"/>
        </w:rPr>
        <w:t> de la presente ley, la corporación pública correspondiente emitirá su concepto respecto de la convocatoria a Consulta Popular Departamental, Distrital, Municipal o Local. La Corporación Pública correspondiente podrá, por la mayoría simple, rechazarla o apoyarla.</w:t>
      </w:r>
    </w:p>
    <w:p w14:paraId="77FA2447"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80"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2EB3BD74" w14:textId="77777777" w:rsidTr="00D042CB">
        <w:trPr>
          <w:tblCellSpacing w:w="15" w:type="dxa"/>
        </w:trPr>
        <w:tc>
          <w:tcPr>
            <w:tcW w:w="0" w:type="auto"/>
            <w:shd w:val="clear" w:color="auto" w:fill="E6E6E6"/>
            <w:vAlign w:val="center"/>
            <w:hideMark/>
          </w:tcPr>
          <w:p w14:paraId="524EA8EF"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4077E2CF" w14:textId="11B1A92B"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81"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2F2E2CC8" wp14:editId="6B4002A0">
              <wp:simplePos x="0" y="0"/>
              <wp:positionH relativeFrom="column">
                <wp:align>left</wp:align>
              </wp:positionH>
              <wp:positionV relativeFrom="line">
                <wp:posOffset>0</wp:posOffset>
              </wp:positionV>
              <wp:extent cx="152400" cy="152400"/>
              <wp:effectExtent l="0" t="0" r="0" b="0"/>
              <wp:wrapSquare wrapText="bothSides"/>
              <wp:docPr id="9" name="Imagen 9"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244E69B"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39" w:name="33"/>
      <w:r w:rsidRPr="00D042CB">
        <w:rPr>
          <w:rFonts w:ascii="Arial" w:eastAsia="Times New Roman" w:hAnsi="Arial" w:cs="Arial"/>
          <w:b/>
          <w:bCs/>
          <w:color w:val="BE9E55"/>
          <w:sz w:val="18"/>
          <w:szCs w:val="18"/>
          <w:lang w:eastAsia="es-CO"/>
        </w:rPr>
        <w:t>ARTÍCULO 33. DECRETO DE CONVOCATORIA.</w:t>
      </w:r>
      <w:bookmarkEnd w:id="39"/>
      <w:r w:rsidRPr="00D042CB">
        <w:rPr>
          <w:rFonts w:ascii="Arial" w:eastAsia="Times New Roman" w:hAnsi="Arial" w:cs="Arial"/>
          <w:color w:val="4B4949"/>
          <w:sz w:val="18"/>
          <w:szCs w:val="18"/>
          <w:lang w:eastAsia="es-CO"/>
        </w:rPr>
        <w:t> Dentro de los 8 días siguientes a la notificación del pronunciamiento de la Corte Constitucional o el Tribunal de lo Contencioso-Administrativo correspondiente; de la certificación del Registrador del cumplimiento de los requisitos para la revocatoria del mandato; del Concepto de la corporación pública de elección popular para el plebiscito y la consulta popular, el Presidente de la República, el Gobernador o el Alcalde, según corresponda, fijará fecha en la que se llevará a cabo la jornada de votación del mecanismo de participación ciudadana correspondiente y adoptará las demás disposiciones necesarias para su ejecución.</w:t>
      </w:r>
    </w:p>
    <w:p w14:paraId="384FA61F"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lastRenderedPageBreak/>
        <w:t>a) El referendo deberá realizarse dentro de los seis meses siguientes al pronunciamiento de la Corte Constitucional o Tribunal de lo Contencioso Administrativo de que trata el artículo </w:t>
      </w:r>
      <w:hyperlink r:id="rId82" w:anchor="22" w:history="1">
        <w:r w:rsidRPr="00D042CB">
          <w:rPr>
            <w:rFonts w:ascii="Arial" w:eastAsia="Times New Roman" w:hAnsi="Arial" w:cs="Arial"/>
            <w:color w:val="0073FF"/>
            <w:sz w:val="18"/>
            <w:szCs w:val="18"/>
            <w:u w:val="single"/>
            <w:lang w:eastAsia="es-CO"/>
          </w:rPr>
          <w:t>22</w:t>
        </w:r>
      </w:hyperlink>
      <w:r w:rsidRPr="00D042CB">
        <w:rPr>
          <w:rFonts w:ascii="Arial" w:eastAsia="Times New Roman" w:hAnsi="Arial" w:cs="Arial"/>
          <w:color w:val="4B4949"/>
          <w:sz w:val="18"/>
          <w:szCs w:val="18"/>
          <w:lang w:eastAsia="es-CO"/>
        </w:rPr>
        <w:t> de la presente ley. No podrá acumularse la votación de más de tres referendos para la misma fecha ni podrá acumularse la votación de referendos constitucionales con otros actos electorales. Cuando se inscriba más de una propuesta de referendo sobre el mismo tema y obtenga el número de apoyos requeridos, el votante podrá decidir sobre cualquiera de ellos, evento en el cual la autoridad electoral pondrá a su disposición cada una de las iniciativas en forma separada;</w:t>
      </w:r>
    </w:p>
    <w:p w14:paraId="62A4B69F"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b) La revocatoria del mandato deberá realizarse dentro de un término no superior a dos meses, contados a partir de la certificación expedida por la Registraduría;</w:t>
      </w:r>
    </w:p>
    <w:p w14:paraId="63FED6E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c) La Consulta Popular se realizará dentro de los tres meses siguientes a la fecha del concepto previo de la corporación pública respectiva o del vencimiento del plazo indicado para ello;</w:t>
      </w:r>
    </w:p>
    <w:p w14:paraId="4287B117"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 xml:space="preserve">d) El plebiscito se realizará en un término máximo de cuatro meses contados a partir de la fecha en que el Congreso reciba el informe del </w:t>
      </w:r>
      <w:proofErr w:type="gramStart"/>
      <w:r w:rsidRPr="00D042CB">
        <w:rPr>
          <w:rFonts w:ascii="Arial" w:eastAsia="Times New Roman" w:hAnsi="Arial" w:cs="Arial"/>
          <w:color w:val="4B4949"/>
          <w:sz w:val="18"/>
          <w:szCs w:val="18"/>
          <w:lang w:eastAsia="es-CO"/>
        </w:rPr>
        <w:t>Presidente</w:t>
      </w:r>
      <w:proofErr w:type="gramEnd"/>
      <w:r w:rsidRPr="00D042CB">
        <w:rPr>
          <w:rFonts w:ascii="Arial" w:eastAsia="Times New Roman" w:hAnsi="Arial" w:cs="Arial"/>
          <w:color w:val="4B4949"/>
          <w:sz w:val="18"/>
          <w:szCs w:val="18"/>
          <w:lang w:eastAsia="es-CO"/>
        </w:rPr>
        <w:t>;</w:t>
      </w:r>
    </w:p>
    <w:p w14:paraId="6AA19047"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e) La Consulta Popular para convocar una Asamblea Constituyente deberá realizarse entre los dos y los seis meses a partir del pronunciamiento de la Corte Constitucional.</w:t>
      </w:r>
    </w:p>
    <w:p w14:paraId="5328D43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w:t>
      </w:r>
      <w:r w:rsidRPr="00D042CB">
        <w:rPr>
          <w:rFonts w:ascii="Arial" w:eastAsia="Times New Roman" w:hAnsi="Arial" w:cs="Arial"/>
          <w:color w:val="4B4949"/>
          <w:sz w:val="18"/>
          <w:szCs w:val="18"/>
          <w:lang w:eastAsia="es-CO"/>
        </w:rPr>
        <w:t> Cuando aplique, la elección de dignatarios a la Asamblea Constituyente deberá realizarse entre los dos y los seis meses a partir de la fecha de promulgación de los resultados de la Consulta Popular por parte del Consejo Nacional Electoral.</w:t>
      </w:r>
    </w:p>
    <w:p w14:paraId="60628624"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83"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0D61619C" w14:textId="77777777" w:rsidTr="00D042CB">
        <w:trPr>
          <w:tblCellSpacing w:w="15" w:type="dxa"/>
        </w:trPr>
        <w:tc>
          <w:tcPr>
            <w:tcW w:w="0" w:type="auto"/>
            <w:shd w:val="clear" w:color="auto" w:fill="E6E6E6"/>
            <w:vAlign w:val="center"/>
            <w:hideMark/>
          </w:tcPr>
          <w:p w14:paraId="3EC10173"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6BEA666D" w14:textId="74B7D6A0"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84"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1978CE0C" wp14:editId="1E31B9F6">
              <wp:simplePos x="0" y="0"/>
              <wp:positionH relativeFrom="column">
                <wp:align>left</wp:align>
              </wp:positionH>
              <wp:positionV relativeFrom="line">
                <wp:posOffset>0</wp:posOffset>
              </wp:positionV>
              <wp:extent cx="152400" cy="152400"/>
              <wp:effectExtent l="0" t="0" r="0" b="0"/>
              <wp:wrapSquare wrapText="bothSides"/>
              <wp:docPr id="8" name="Imagen 8"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1A684BC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40" w:name="34"/>
      <w:r w:rsidRPr="00D042CB">
        <w:rPr>
          <w:rFonts w:ascii="Arial" w:eastAsia="Times New Roman" w:hAnsi="Arial" w:cs="Arial"/>
          <w:b/>
          <w:bCs/>
          <w:color w:val="BE9E55"/>
          <w:sz w:val="18"/>
          <w:szCs w:val="18"/>
          <w:lang w:eastAsia="es-CO"/>
        </w:rPr>
        <w:t>ARTÍCULO 34. CAMPAÑAS SOBRE LOS MECANISMOS DE PARTICIPACIÓN CIUDADANA.</w:t>
      </w:r>
      <w:bookmarkEnd w:id="40"/>
      <w:r w:rsidRPr="00D042CB">
        <w:rPr>
          <w:rFonts w:ascii="Arial" w:eastAsia="Times New Roman" w:hAnsi="Arial" w:cs="Arial"/>
          <w:color w:val="4B4949"/>
          <w:sz w:val="18"/>
          <w:szCs w:val="18"/>
          <w:lang w:eastAsia="es-CO"/>
        </w:rPr>
        <w:t> Desde la fecha en la que la autoridad competente determine, mediante decreto, cuando se realizará la votación sobre un mecanismo de participación ciudadana hasta el día anterior a la realización del mismo, se podrán desarrollar campañas a favor, en contra y por la abstención a cada mecanismo, cuando aplique.</w:t>
      </w:r>
    </w:p>
    <w:p w14:paraId="2E2ECACF"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w:t>
      </w:r>
      <w:r w:rsidRPr="00D042CB">
        <w:rPr>
          <w:rFonts w:ascii="Arial" w:eastAsia="Times New Roman" w:hAnsi="Arial" w:cs="Arial"/>
          <w:color w:val="4B4949"/>
          <w:sz w:val="18"/>
          <w:szCs w:val="18"/>
          <w:lang w:eastAsia="es-CO"/>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15 días contados a partir de la fecha en la que se publique el decreto de convocatoria de que trata el artículo anterior.</w:t>
      </w:r>
    </w:p>
    <w:p w14:paraId="54273AAB"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p w14:paraId="0002994D"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85"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20A8AF90" w14:textId="77777777" w:rsidTr="00D042CB">
        <w:trPr>
          <w:tblCellSpacing w:w="15" w:type="dxa"/>
        </w:trPr>
        <w:tc>
          <w:tcPr>
            <w:tcW w:w="0" w:type="auto"/>
            <w:shd w:val="clear" w:color="auto" w:fill="E6E6E6"/>
            <w:vAlign w:val="center"/>
            <w:hideMark/>
          </w:tcPr>
          <w:p w14:paraId="7EBFD704"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0263F95D" w14:textId="03668FFE"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86"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4A857096" wp14:editId="6A66C37D">
              <wp:simplePos x="0" y="0"/>
              <wp:positionH relativeFrom="column">
                <wp:align>left</wp:align>
              </wp:positionH>
              <wp:positionV relativeFrom="line">
                <wp:posOffset>0</wp:posOffset>
              </wp:positionV>
              <wp:extent cx="152400" cy="152400"/>
              <wp:effectExtent l="0" t="0" r="0" b="0"/>
              <wp:wrapSquare wrapText="bothSides"/>
              <wp:docPr id="7" name="Imagen 7"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5062144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41" w:name="35"/>
      <w:r w:rsidRPr="00D042CB">
        <w:rPr>
          <w:rFonts w:ascii="Arial" w:eastAsia="Times New Roman" w:hAnsi="Arial" w:cs="Arial"/>
          <w:b/>
          <w:bCs/>
          <w:color w:val="BE9E55"/>
          <w:sz w:val="18"/>
          <w:szCs w:val="18"/>
          <w:lang w:eastAsia="es-CO"/>
        </w:rPr>
        <w:lastRenderedPageBreak/>
        <w:t>ARTÍCULO 35. LÍMITES EN LA FINANCIACIÓN DE LAS CAMPAÑAS.</w:t>
      </w:r>
      <w:bookmarkEnd w:id="41"/>
      <w:r w:rsidRPr="00D042CB">
        <w:rPr>
          <w:rFonts w:ascii="Arial" w:eastAsia="Times New Roman" w:hAnsi="Arial" w:cs="Arial"/>
          <w:color w:val="4B4949"/>
          <w:sz w:val="18"/>
          <w:szCs w:val="18"/>
          <w:lang w:eastAsia="es-CO"/>
        </w:rPr>
        <w:t> El Consejo Nacional Electoral fijará anualmente la suma máxima de dinero que se podrá destinar al desarrollo de una campaña a favor, en contra o por la abstención de mecanismos de participación ciudadana y la suma máxima de los aportes de cada ciudadano u organización, de acuerdo con las reglas establecidas en el artículo </w:t>
      </w:r>
      <w:hyperlink r:id="rId87" w:anchor="12" w:history="1">
        <w:r w:rsidRPr="00D042CB">
          <w:rPr>
            <w:rFonts w:ascii="Arial" w:eastAsia="Times New Roman" w:hAnsi="Arial" w:cs="Arial"/>
            <w:color w:val="0073FF"/>
            <w:sz w:val="18"/>
            <w:szCs w:val="18"/>
            <w:u w:val="single"/>
            <w:lang w:eastAsia="es-CO"/>
          </w:rPr>
          <w:t>12</w:t>
        </w:r>
      </w:hyperlink>
      <w:r w:rsidRPr="00D042CB">
        <w:rPr>
          <w:rFonts w:ascii="Arial" w:eastAsia="Times New Roman" w:hAnsi="Arial" w:cs="Arial"/>
          <w:color w:val="4B4949"/>
          <w:sz w:val="18"/>
          <w:szCs w:val="18"/>
          <w:lang w:eastAsia="es-CO"/>
        </w:rPr>
        <w:t xml:space="preserve"> de esta ley. </w:t>
      </w:r>
      <w:proofErr w:type="gramStart"/>
      <w:r w:rsidRPr="00D042CB">
        <w:rPr>
          <w:rFonts w:ascii="Arial" w:eastAsia="Times New Roman" w:hAnsi="Arial" w:cs="Arial"/>
          <w:color w:val="4B4949"/>
          <w:sz w:val="18"/>
          <w:szCs w:val="18"/>
          <w:lang w:eastAsia="es-CO"/>
        </w:rPr>
        <w:t>Asimismo</w:t>
      </w:r>
      <w:proofErr w:type="gramEnd"/>
      <w:r w:rsidRPr="00D042CB">
        <w:rPr>
          <w:rFonts w:ascii="Arial" w:eastAsia="Times New Roman" w:hAnsi="Arial" w:cs="Arial"/>
          <w:color w:val="4B4949"/>
          <w:sz w:val="18"/>
          <w:szCs w:val="18"/>
          <w:lang w:eastAsia="es-CO"/>
        </w:rPr>
        <w:t xml:space="preserve"> podrá investigar las denuncias que sobre incumplimiento de dichas normas se presenten.</w:t>
      </w:r>
    </w:p>
    <w:p w14:paraId="5DB13ADE"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88"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02EAEA77" w14:textId="77777777" w:rsidTr="00D042CB">
        <w:trPr>
          <w:tblCellSpacing w:w="15" w:type="dxa"/>
        </w:trPr>
        <w:tc>
          <w:tcPr>
            <w:tcW w:w="0" w:type="auto"/>
            <w:shd w:val="clear" w:color="auto" w:fill="E6E6E6"/>
            <w:vAlign w:val="center"/>
            <w:hideMark/>
          </w:tcPr>
          <w:p w14:paraId="732C3B46"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0931786D"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bookmarkStart w:id="42" w:name="CAPÍTULO_III-III"/>
      <w:r w:rsidRPr="00D042CB">
        <w:rPr>
          <w:rFonts w:ascii="Arial" w:eastAsia="Times New Roman" w:hAnsi="Arial" w:cs="Arial"/>
          <w:b/>
          <w:bCs/>
          <w:color w:val="BE9E55"/>
          <w:sz w:val="18"/>
          <w:szCs w:val="18"/>
          <w:lang w:eastAsia="es-CO"/>
        </w:rPr>
        <w:t>CAPÍTULO III.</w:t>
      </w:r>
      <w:bookmarkEnd w:id="42"/>
    </w:p>
    <w:p w14:paraId="49E5B2FC"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VOTACIÓN SOBRE LOS MECANISMOS DE PARTICIPACIÓN CIUDADANA.</w:t>
      </w:r>
    </w:p>
    <w:p w14:paraId="0C103FAA" w14:textId="01C6E9DB"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89"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7C3CF63E" wp14:editId="78D0EAA6">
              <wp:simplePos x="0" y="0"/>
              <wp:positionH relativeFrom="column">
                <wp:align>left</wp:align>
              </wp:positionH>
              <wp:positionV relativeFrom="line">
                <wp:posOffset>0</wp:posOffset>
              </wp:positionV>
              <wp:extent cx="152400" cy="152400"/>
              <wp:effectExtent l="0" t="0" r="0" b="0"/>
              <wp:wrapSquare wrapText="bothSides"/>
              <wp:docPr id="6" name="Imagen 6"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666703F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43" w:name="36"/>
      <w:r w:rsidRPr="00D042CB">
        <w:rPr>
          <w:rFonts w:ascii="Arial" w:eastAsia="Times New Roman" w:hAnsi="Arial" w:cs="Arial"/>
          <w:b/>
          <w:bCs/>
          <w:color w:val="BE9E55"/>
          <w:sz w:val="18"/>
          <w:szCs w:val="18"/>
          <w:lang w:eastAsia="es-CO"/>
        </w:rPr>
        <w:t>ARTÍCULO 36. MECANISMOS DE PARTICIPACIÓN CIUDADANA QUE REQUIEREN VOTACIÓN POPULAR.</w:t>
      </w:r>
      <w:bookmarkEnd w:id="43"/>
      <w:r w:rsidRPr="00D042CB">
        <w:rPr>
          <w:rFonts w:ascii="Arial" w:eastAsia="Times New Roman" w:hAnsi="Arial" w:cs="Arial"/>
          <w:color w:val="4B4949"/>
          <w:sz w:val="18"/>
          <w:szCs w:val="18"/>
          <w:lang w:eastAsia="es-CO"/>
        </w:rPr>
        <w:t> Luego de cumplir con los requisitos y el procedimiento establecido en la presente ley, para el Referendo, el Plebiscito, la Consulta Popular y la Revocatoria de Mandato, se procederá a la votación popular.</w:t>
      </w:r>
    </w:p>
    <w:p w14:paraId="190F34AE"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90"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6F700B84" w14:textId="77777777" w:rsidTr="00D042CB">
        <w:trPr>
          <w:tblCellSpacing w:w="15" w:type="dxa"/>
        </w:trPr>
        <w:tc>
          <w:tcPr>
            <w:tcW w:w="0" w:type="auto"/>
            <w:shd w:val="clear" w:color="auto" w:fill="E6E6E6"/>
            <w:vAlign w:val="center"/>
            <w:hideMark/>
          </w:tcPr>
          <w:p w14:paraId="7764C1E9"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3876BB2B" w14:textId="7213E8D6"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91"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49BF9ADD" wp14:editId="46096927">
              <wp:simplePos x="0" y="0"/>
              <wp:positionH relativeFrom="column">
                <wp:align>left</wp:align>
              </wp:positionH>
              <wp:positionV relativeFrom="line">
                <wp:posOffset>0</wp:posOffset>
              </wp:positionV>
              <wp:extent cx="152400" cy="152400"/>
              <wp:effectExtent l="0" t="0" r="0" b="0"/>
              <wp:wrapSquare wrapText="bothSides"/>
              <wp:docPr id="5" name="Imagen 5"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3DF72FF8"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44" w:name="37"/>
      <w:r w:rsidRPr="00D042CB">
        <w:rPr>
          <w:rFonts w:ascii="Arial" w:eastAsia="Times New Roman" w:hAnsi="Arial" w:cs="Arial"/>
          <w:b/>
          <w:bCs/>
          <w:color w:val="BE9E55"/>
          <w:sz w:val="18"/>
          <w:szCs w:val="18"/>
          <w:lang w:eastAsia="es-CO"/>
        </w:rPr>
        <w:t>ARTÍCULO 37. CONTENIDO DE LA TARJETA ELECTORAL O DEL MECANISMO ELECTRÓNICO DE VOTACIÓN.</w:t>
      </w:r>
      <w:bookmarkEnd w:id="44"/>
      <w:r w:rsidRPr="00D042CB">
        <w:rPr>
          <w:rFonts w:ascii="Arial" w:eastAsia="Times New Roman" w:hAnsi="Arial" w:cs="Arial"/>
          <w:color w:val="4B4949"/>
          <w:sz w:val="18"/>
          <w:szCs w:val="18"/>
          <w:lang w:eastAsia="es-CO"/>
        </w:rPr>
        <w:t> La tarjeta electoral o el mecanismo electrónico de votación que se emplee para los mecanismos de participación ciudadana deberá garantizar que se presente a los ciudadanos la posibilidad de manifestar libremente su decisión sobre la respectiva pregunta del plebiscito, referendo, revocatoria del mandato o consulta popular.</w:t>
      </w:r>
    </w:p>
    <w:p w14:paraId="4EF824A5"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92"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1B33B385" w14:textId="77777777" w:rsidTr="00D042CB">
        <w:trPr>
          <w:tblCellSpacing w:w="15" w:type="dxa"/>
        </w:trPr>
        <w:tc>
          <w:tcPr>
            <w:tcW w:w="0" w:type="auto"/>
            <w:shd w:val="clear" w:color="auto" w:fill="E6E6E6"/>
            <w:vAlign w:val="center"/>
            <w:hideMark/>
          </w:tcPr>
          <w:p w14:paraId="20A2A8D5"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297ABB60" w14:textId="5EEC80B3"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93"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56A4F151" wp14:editId="1DD71279">
              <wp:simplePos x="0" y="0"/>
              <wp:positionH relativeFrom="column">
                <wp:align>left</wp:align>
              </wp:positionH>
              <wp:positionV relativeFrom="line">
                <wp:posOffset>0</wp:posOffset>
              </wp:positionV>
              <wp:extent cx="152400" cy="152400"/>
              <wp:effectExtent l="0" t="0" r="0" b="0"/>
              <wp:wrapSquare wrapText="bothSides"/>
              <wp:docPr id="4" name="Imagen 4"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64732558"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45" w:name="38"/>
      <w:r w:rsidRPr="00D042CB">
        <w:rPr>
          <w:rFonts w:ascii="Arial" w:eastAsia="Times New Roman" w:hAnsi="Arial" w:cs="Arial"/>
          <w:b/>
          <w:bCs/>
          <w:color w:val="BE9E55"/>
          <w:sz w:val="18"/>
          <w:szCs w:val="18"/>
          <w:lang w:eastAsia="es-CO"/>
        </w:rPr>
        <w:t>ARTÍCULO 38. REGLAS ESPECIALES DE LA TARJETA ELECTORAL O DEL MECANISMO ELECTRÓNICO DE VOTACIÓN SEGÚN MECANISMO DE PARTICIPACIÓN.</w:t>
      </w:r>
      <w:bookmarkEnd w:id="45"/>
      <w:r w:rsidRPr="00D042CB">
        <w:rPr>
          <w:rFonts w:ascii="Arial" w:eastAsia="Times New Roman" w:hAnsi="Arial" w:cs="Arial"/>
          <w:color w:val="4B4949"/>
          <w:sz w:val="18"/>
          <w:szCs w:val="18"/>
          <w:lang w:eastAsia="es-CO"/>
        </w:rPr>
        <w:t> Además de lo contemplado en el artículo anterior, se deben tener en cuenta para la tarjeta electoral o el mecanismo electrónico de votación de cada iniciativa de participación ciudadana los siguientes requisitos:</w:t>
      </w:r>
    </w:p>
    <w:p w14:paraId="306C8825"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a) Cuando aplique para el referendo y este se refiera a un solo tema se contará con una casilla para el voto en bloque;</w:t>
      </w:r>
    </w:p>
    <w:p w14:paraId="4EAFD1D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b) No podrán ser objeto de consulta popular o plebiscito proyectos de articulado y las preguntas que se formulen al pueblo estarán redactadas en forma clara, de tal manera que puedan contestarse con un sí o un no;</w:t>
      </w:r>
    </w:p>
    <w:p w14:paraId="4A126CF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c) La tarjeta electoral o el mecanismo electrónico de votación para la consulta sobre la convocatoria a una asamblea constituyente deberá ser diseñado de tal forma que los electores puedan votar con un sí o un no la convocatoria y, separadamente, los temas que serán competencia de la Asamblea.</w:t>
      </w:r>
    </w:p>
    <w:p w14:paraId="3FEA1DBC"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94"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3AC62FFD" w14:textId="77777777" w:rsidTr="00D042CB">
        <w:trPr>
          <w:tblCellSpacing w:w="15" w:type="dxa"/>
        </w:trPr>
        <w:tc>
          <w:tcPr>
            <w:tcW w:w="0" w:type="auto"/>
            <w:shd w:val="clear" w:color="auto" w:fill="E6E6E6"/>
            <w:vAlign w:val="center"/>
            <w:hideMark/>
          </w:tcPr>
          <w:p w14:paraId="13839A61"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602BD1F4" w14:textId="00890295"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95"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10CA92E2" wp14:editId="02793F96">
              <wp:simplePos x="0" y="0"/>
              <wp:positionH relativeFrom="column">
                <wp:align>left</wp:align>
              </wp:positionH>
              <wp:positionV relativeFrom="line">
                <wp:posOffset>0</wp:posOffset>
              </wp:positionV>
              <wp:extent cx="152400" cy="152400"/>
              <wp:effectExtent l="0" t="0" r="0" b="0"/>
              <wp:wrapSquare wrapText="bothSides"/>
              <wp:docPr id="3" name="Imagen 3"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0C225DB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46" w:name="39"/>
      <w:r w:rsidRPr="00D042CB">
        <w:rPr>
          <w:rFonts w:ascii="Arial" w:eastAsia="Times New Roman" w:hAnsi="Arial" w:cs="Arial"/>
          <w:b/>
          <w:bCs/>
          <w:color w:val="BE9E55"/>
          <w:sz w:val="18"/>
          <w:szCs w:val="18"/>
          <w:lang w:eastAsia="es-CO"/>
        </w:rPr>
        <w:t>ARTÍCULO 39. REMISIÓN.</w:t>
      </w:r>
      <w:bookmarkEnd w:id="46"/>
      <w:r w:rsidRPr="00D042CB">
        <w:rPr>
          <w:rFonts w:ascii="Arial" w:eastAsia="Times New Roman" w:hAnsi="Arial" w:cs="Arial"/>
          <w:color w:val="4B4949"/>
          <w:sz w:val="18"/>
          <w:szCs w:val="18"/>
          <w:lang w:eastAsia="es-CO"/>
        </w:rPr>
        <w:t> &lt;Aparte subrayado CONDICIONALMENTE exequible&gt; Las reglas sobre publicidad, encuestas, escrutinios y reclamaciones vigentes </w:t>
      </w:r>
      <w:r w:rsidRPr="00D042CB">
        <w:rPr>
          <w:rFonts w:ascii="Arial" w:eastAsia="Times New Roman" w:hAnsi="Arial" w:cs="Arial"/>
          <w:color w:val="4B4949"/>
          <w:sz w:val="18"/>
          <w:szCs w:val="18"/>
          <w:u w:val="single"/>
          <w:lang w:eastAsia="es-CO"/>
        </w:rPr>
        <w:t>en la normatividad electoral</w:t>
      </w:r>
      <w:r w:rsidRPr="00D042CB">
        <w:rPr>
          <w:rFonts w:ascii="Arial" w:eastAsia="Times New Roman" w:hAnsi="Arial" w:cs="Arial"/>
          <w:color w:val="4B4949"/>
          <w:sz w:val="18"/>
          <w:szCs w:val="18"/>
          <w:lang w:eastAsia="es-CO"/>
        </w:rPr>
        <w:t> aplicarán a los mecanismos de participación ciudadana que requieren de votación popular.</w:t>
      </w:r>
    </w:p>
    <w:p w14:paraId="1D7170A0"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96"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575009D5" w14:textId="77777777" w:rsidTr="00D042CB">
        <w:trPr>
          <w:tblCellSpacing w:w="15" w:type="dxa"/>
        </w:trPr>
        <w:tc>
          <w:tcPr>
            <w:tcW w:w="0" w:type="auto"/>
            <w:shd w:val="clear" w:color="auto" w:fill="E6E6E6"/>
            <w:vAlign w:val="center"/>
            <w:hideMark/>
          </w:tcPr>
          <w:p w14:paraId="23FA6060"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34960ABE" w14:textId="18509477"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97"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4671B581" wp14:editId="2E4B42DB">
              <wp:simplePos x="0" y="0"/>
              <wp:positionH relativeFrom="column">
                <wp:align>left</wp:align>
              </wp:positionH>
              <wp:positionV relativeFrom="line">
                <wp:posOffset>0</wp:posOffset>
              </wp:positionV>
              <wp:extent cx="152400" cy="152400"/>
              <wp:effectExtent l="0" t="0" r="0" b="0"/>
              <wp:wrapSquare wrapText="bothSides"/>
              <wp:docPr id="2" name="Imagen 2"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7B26F71B"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47" w:name="40"/>
      <w:r w:rsidRPr="00D042CB">
        <w:rPr>
          <w:rFonts w:ascii="Arial" w:eastAsia="Times New Roman" w:hAnsi="Arial" w:cs="Arial"/>
          <w:b/>
          <w:bCs/>
          <w:color w:val="BE9E55"/>
          <w:sz w:val="18"/>
          <w:szCs w:val="18"/>
          <w:lang w:eastAsia="es-CO"/>
        </w:rPr>
        <w:t>ARTÍCULO 40. SUSPENSIÓN DE LA VOTACIÓN.</w:t>
      </w:r>
      <w:bookmarkEnd w:id="47"/>
      <w:r w:rsidRPr="00D042CB">
        <w:rPr>
          <w:rFonts w:ascii="Arial" w:eastAsia="Times New Roman" w:hAnsi="Arial" w:cs="Arial"/>
          <w:color w:val="4B4949"/>
          <w:sz w:val="18"/>
          <w:szCs w:val="18"/>
          <w:lang w:eastAsia="es-CO"/>
        </w:rPr>
        <w:t xml:space="preserve"> Durante los estados de conmoción interior, guerra exterior o emergencia económica, el </w:t>
      </w:r>
      <w:proofErr w:type="gramStart"/>
      <w:r w:rsidRPr="00D042CB">
        <w:rPr>
          <w:rFonts w:ascii="Arial" w:eastAsia="Times New Roman" w:hAnsi="Arial" w:cs="Arial"/>
          <w:color w:val="4B4949"/>
          <w:sz w:val="18"/>
          <w:szCs w:val="18"/>
          <w:lang w:eastAsia="es-CO"/>
        </w:rPr>
        <w:t>Presidente</w:t>
      </w:r>
      <w:proofErr w:type="gramEnd"/>
      <w:r w:rsidRPr="00D042CB">
        <w:rPr>
          <w:rFonts w:ascii="Arial" w:eastAsia="Times New Roman" w:hAnsi="Arial" w:cs="Arial"/>
          <w:color w:val="4B4949"/>
          <w:sz w:val="18"/>
          <w:szCs w:val="18"/>
          <w:lang w:eastAsia="es-CO"/>
        </w:rPr>
        <w:t xml:space="preserve"> de la República con la firma de todos sus ministros mediante decreto, podrá suspender la realización de la votación de un mecanismo de participación ciudadana.</w:t>
      </w:r>
    </w:p>
    <w:p w14:paraId="20E2D01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 xml:space="preserve">Dentro de los tres (3) días siguientes a la expedición del decreto, el </w:t>
      </w:r>
      <w:proofErr w:type="gramStart"/>
      <w:r w:rsidRPr="00D042CB">
        <w:rPr>
          <w:rFonts w:ascii="Arial" w:eastAsia="Times New Roman" w:hAnsi="Arial" w:cs="Arial"/>
          <w:color w:val="4B4949"/>
          <w:sz w:val="18"/>
          <w:szCs w:val="18"/>
          <w:lang w:eastAsia="es-CO"/>
        </w:rPr>
        <w:t>Presidente</w:t>
      </w:r>
      <w:proofErr w:type="gramEnd"/>
      <w:r w:rsidRPr="00D042CB">
        <w:rPr>
          <w:rFonts w:ascii="Arial" w:eastAsia="Times New Roman" w:hAnsi="Arial" w:cs="Arial"/>
          <w:color w:val="4B4949"/>
          <w:sz w:val="18"/>
          <w:szCs w:val="18"/>
          <w:lang w:eastAsia="es-CO"/>
        </w:rPr>
        <w:t xml:space="preserve"> de la República, presentará un informe motivado al Congreso, sobre las razones que determinaron la suspensión.</w:t>
      </w:r>
    </w:p>
    <w:p w14:paraId="3855601D"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El Gobierno enviará a la Corte Constitucional, al día siguiente de su expedición, el decreto legislativo de suspensión para que esta decida, a más tardar dentro de los veinte (20) días siguientes, sobre su constitucionalidad. Si el Gobierno no cumpliere con el deber de enviarlo, la Corte Constitucional aprehenderá de oficio y en forma inmediata su conocimiento.</w:t>
      </w:r>
    </w:p>
    <w:p w14:paraId="3E551200"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PARÁGRAFO.</w:t>
      </w:r>
      <w:r w:rsidRPr="00D042CB">
        <w:rPr>
          <w:rFonts w:ascii="Arial" w:eastAsia="Times New Roman" w:hAnsi="Arial" w:cs="Arial"/>
          <w:color w:val="4B4949"/>
          <w:sz w:val="18"/>
          <w:szCs w:val="18"/>
          <w:lang w:eastAsia="es-CO"/>
        </w:rPr>
        <w:t> Dos meses después de haberse levantado el estado de conmoción, deberá realizarse la votación del mecanismo de participación ciudadana que había sido aplazada, conforme al presente artículo.</w:t>
      </w:r>
    </w:p>
    <w:p w14:paraId="60A05F31"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98" w:history="1">
        <w:r w:rsidRPr="00D042CB">
          <w:rPr>
            <w:rFonts w:ascii="Arial" w:eastAsia="Times New Roman" w:hAnsi="Arial" w:cs="Arial"/>
            <w:color w:val="188A8A"/>
            <w:sz w:val="18"/>
            <w:szCs w:val="18"/>
            <w:u w:val="single"/>
            <w:shd w:val="clear" w:color="auto" w:fill="E6E6E6"/>
            <w:lang w:eastAsia="es-CO"/>
          </w:rPr>
          <w:t>Jurisprudencia Vigencia</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18D40677" w14:textId="77777777" w:rsidTr="00D042CB">
        <w:trPr>
          <w:tblCellSpacing w:w="15" w:type="dxa"/>
        </w:trPr>
        <w:tc>
          <w:tcPr>
            <w:tcW w:w="0" w:type="auto"/>
            <w:shd w:val="clear" w:color="auto" w:fill="E6E6E6"/>
            <w:vAlign w:val="center"/>
            <w:hideMark/>
          </w:tcPr>
          <w:p w14:paraId="0370C8CD"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1908BA3B"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hyperlink r:id="rId99" w:history="1">
        <w:r w:rsidRPr="00D042CB">
          <w:rPr>
            <w:rFonts w:ascii="Arial" w:eastAsia="Times New Roman" w:hAnsi="Arial" w:cs="Arial"/>
            <w:color w:val="188A8A"/>
            <w:sz w:val="18"/>
            <w:szCs w:val="18"/>
            <w:u w:val="single"/>
            <w:shd w:val="clear" w:color="auto" w:fill="E6E6E6"/>
            <w:lang w:eastAsia="es-CO"/>
          </w:rPr>
          <w:t>Texto del Proyecto de Ley Anterior</w:t>
        </w:r>
      </w:hyperlink>
    </w:p>
    <w:tbl>
      <w:tblPr>
        <w:tblW w:w="5000" w:type="pct"/>
        <w:tblCellSpacing w:w="15" w:type="dxa"/>
        <w:shd w:val="clear" w:color="auto" w:fill="E6E6E6"/>
        <w:tblCellMar>
          <w:top w:w="150" w:type="dxa"/>
          <w:left w:w="150" w:type="dxa"/>
          <w:bottom w:w="150" w:type="dxa"/>
          <w:right w:w="150" w:type="dxa"/>
        </w:tblCellMar>
        <w:tblLook w:val="04A0" w:firstRow="1" w:lastRow="0" w:firstColumn="1" w:lastColumn="0" w:noHBand="0" w:noVBand="1"/>
      </w:tblPr>
      <w:tblGrid>
        <w:gridCol w:w="8838"/>
      </w:tblGrid>
      <w:tr w:rsidR="00D042CB" w:rsidRPr="00D042CB" w14:paraId="058812DA" w14:textId="77777777" w:rsidTr="00D042CB">
        <w:trPr>
          <w:tblCellSpacing w:w="15" w:type="dxa"/>
        </w:trPr>
        <w:tc>
          <w:tcPr>
            <w:tcW w:w="0" w:type="auto"/>
            <w:shd w:val="clear" w:color="auto" w:fill="E6E6E6"/>
            <w:vAlign w:val="center"/>
            <w:hideMark/>
          </w:tcPr>
          <w:p w14:paraId="7EDD2958" w14:textId="77777777" w:rsidR="00D042CB" w:rsidRPr="00D042CB" w:rsidRDefault="00D042CB" w:rsidP="00D042CB">
            <w:pPr>
              <w:spacing w:line="240" w:lineRule="auto"/>
              <w:ind w:firstLine="0"/>
              <w:rPr>
                <w:rFonts w:ascii="Arial" w:eastAsia="Times New Roman" w:hAnsi="Arial" w:cs="Arial"/>
                <w:color w:val="4B4949"/>
                <w:sz w:val="18"/>
                <w:szCs w:val="18"/>
                <w:lang w:eastAsia="es-CO"/>
              </w:rPr>
            </w:pPr>
          </w:p>
        </w:tc>
      </w:tr>
    </w:tbl>
    <w:p w14:paraId="5047EEAA"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bookmarkStart w:id="48" w:name="CAPÍTULO_IV-III"/>
      <w:r w:rsidRPr="00D042CB">
        <w:rPr>
          <w:rFonts w:ascii="Arial" w:eastAsia="Times New Roman" w:hAnsi="Arial" w:cs="Arial"/>
          <w:b/>
          <w:bCs/>
          <w:color w:val="BE9E55"/>
          <w:sz w:val="18"/>
          <w:szCs w:val="18"/>
          <w:lang w:eastAsia="es-CO"/>
        </w:rPr>
        <w:t>CAPÍTULO IV.</w:t>
      </w:r>
      <w:bookmarkEnd w:id="48"/>
    </w:p>
    <w:p w14:paraId="729BD5CF" w14:textId="77777777" w:rsidR="00D042CB" w:rsidRPr="00D042CB" w:rsidRDefault="00D042CB" w:rsidP="00D042CB">
      <w:pPr>
        <w:spacing w:before="100" w:beforeAutospacing="1" w:after="100" w:afterAutospacing="1" w:line="270" w:lineRule="atLeast"/>
        <w:ind w:firstLine="0"/>
        <w:jc w:val="center"/>
        <w:rPr>
          <w:rFonts w:ascii="Arial" w:eastAsia="Times New Roman" w:hAnsi="Arial" w:cs="Arial"/>
          <w:color w:val="4B4949"/>
          <w:sz w:val="18"/>
          <w:szCs w:val="18"/>
          <w:lang w:eastAsia="es-CO"/>
        </w:rPr>
      </w:pPr>
      <w:r w:rsidRPr="00D042CB">
        <w:rPr>
          <w:rFonts w:ascii="Arial" w:eastAsia="Times New Roman" w:hAnsi="Arial" w:cs="Arial"/>
          <w:b/>
          <w:bCs/>
          <w:color w:val="000000"/>
          <w:sz w:val="18"/>
          <w:szCs w:val="18"/>
          <w:lang w:eastAsia="es-CO"/>
        </w:rPr>
        <w:t>ADOPCIÓN DE LA DECISIÓN.</w:t>
      </w:r>
    </w:p>
    <w:p w14:paraId="5F664F2C" w14:textId="777130F4" w:rsidR="00D042CB" w:rsidRPr="00D042CB" w:rsidRDefault="00D042CB" w:rsidP="00D042CB">
      <w:pPr>
        <w:spacing w:line="240" w:lineRule="auto"/>
        <w:ind w:firstLine="0"/>
        <w:jc w:val="left"/>
        <w:rPr>
          <w:rFonts w:ascii="Times New Roman" w:eastAsia="Times New Roman" w:hAnsi="Times New Roman" w:cs="Times New Roman"/>
          <w:sz w:val="24"/>
          <w:szCs w:val="24"/>
          <w:lang w:eastAsia="es-CO"/>
        </w:rPr>
      </w:pPr>
      <w:hyperlink r:id="rId100" w:anchor="top" w:tooltip="Ir al inicio" w:history="1">
        <w:r w:rsidRPr="00D042CB">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14:anchorId="134CE1B2" wp14:editId="57C68F38">
              <wp:simplePos x="0" y="0"/>
              <wp:positionH relativeFrom="column">
                <wp:align>left</wp:align>
              </wp:positionH>
              <wp:positionV relativeFrom="line">
                <wp:posOffset>0</wp:posOffset>
              </wp:positionV>
              <wp:extent cx="152400" cy="152400"/>
              <wp:effectExtent l="0" t="0" r="0" b="0"/>
              <wp:wrapSquare wrapText="bothSides"/>
              <wp:docPr id="1" name="Imagen 1" descr="Ir al inicio">
                <a:hlinkClick xmlns:a="http://schemas.openxmlformats.org/drawingml/2006/main" r:id="rId7" tooltip="&quot;Ir al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r al inicio">
                        <a:hlinkClick r:id="rId7" tooltip="&quot;Ir al inici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72F83741"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bookmarkStart w:id="49" w:name="41"/>
      <w:r w:rsidRPr="00D042CB">
        <w:rPr>
          <w:rFonts w:ascii="Arial" w:eastAsia="Times New Roman" w:hAnsi="Arial" w:cs="Arial"/>
          <w:b/>
          <w:bCs/>
          <w:color w:val="BE9E55"/>
          <w:sz w:val="18"/>
          <w:szCs w:val="18"/>
          <w:lang w:eastAsia="es-CO"/>
        </w:rPr>
        <w:t>ARTÍCULO 41. CARÁCTER DE LA DECISIÓN Y REQUISITOS.</w:t>
      </w:r>
      <w:bookmarkEnd w:id="49"/>
      <w:r w:rsidRPr="00D042CB">
        <w:rPr>
          <w:rFonts w:ascii="Arial" w:eastAsia="Times New Roman" w:hAnsi="Arial" w:cs="Arial"/>
          <w:color w:val="4B4949"/>
          <w:sz w:val="18"/>
          <w:szCs w:val="18"/>
          <w:lang w:eastAsia="es-CO"/>
        </w:rPr>
        <w:t> La decisión del pueblo será obligatoria en todo mecanismo de participación democrática cuando se cumpla con los siguientes requisitos:</w:t>
      </w:r>
    </w:p>
    <w:p w14:paraId="376CA483"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a) En el plebiscito que haya participado más del cincuenta por ciento (50%) del censo electoral vigente;</w:t>
      </w:r>
    </w:p>
    <w:p w14:paraId="5DEFFEA5"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b) En el Referendo que el voto afirmativo de más de la mitad de los sufragantes y que el número de estos exceda de la cuarta parte del total de ciudadanos que integran el censo electoral;</w:t>
      </w:r>
    </w:p>
    <w:p w14:paraId="5B08DD9A"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lastRenderedPageBreak/>
        <w:t>c) En la Consulta popular que la pregunta sometida al pueblo haya obtenido el voto afirmativo de la mitad más uno de los sufragios válidos, siempre y cuando haya participado no menos de la tercera parte de los electores que componen el respectivo censo electoral;</w:t>
      </w:r>
    </w:p>
    <w:p w14:paraId="7E2A38BB"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d) Se entiende que el pueblo convoca la Asamblea Constituyente, si así lo aprueba, cuando menos, la tercera parte de los integrantes del censo electoral. Las reglas definidas por el pueblo en la consulta no podrán ser variadas posteriormente;</w:t>
      </w:r>
    </w:p>
    <w:p w14:paraId="34CF4B54" w14:textId="77777777" w:rsidR="00D042CB" w:rsidRPr="00D042CB" w:rsidRDefault="00D042CB" w:rsidP="00D042CB">
      <w:pPr>
        <w:spacing w:before="100" w:beforeAutospacing="1" w:after="100" w:afterAutospacing="1" w:line="270" w:lineRule="atLeast"/>
        <w:ind w:firstLine="0"/>
        <w:rPr>
          <w:rFonts w:ascii="Arial" w:eastAsia="Times New Roman" w:hAnsi="Arial" w:cs="Arial"/>
          <w:color w:val="4B4949"/>
          <w:sz w:val="18"/>
          <w:szCs w:val="18"/>
          <w:lang w:eastAsia="es-CO"/>
        </w:rPr>
      </w:pPr>
      <w:r w:rsidRPr="00D042CB">
        <w:rPr>
          <w:rFonts w:ascii="Arial" w:eastAsia="Times New Roman" w:hAnsi="Arial" w:cs="Arial"/>
          <w:color w:val="4B4949"/>
          <w:sz w:val="18"/>
          <w:szCs w:val="18"/>
          <w:lang w:eastAsia="es-CO"/>
        </w:rPr>
        <w:t>e) En la Revocatoria del Mandato el pronunciamiento popular por la mitad más uno de los votos ciudadanos que participen en la respectiva convocatoria, siempre que el número de sufragios no sea inferior al cuarenta (40%) de la votación total válida registrada el día en que se eligió al respectivo mandatario. Si como resultado de la votación no se revoca el mandato del gobernador o del alcalde, no podrá volver a intentarse en l</w:t>
      </w:r>
    </w:p>
    <w:p w14:paraId="148C4336" w14:textId="77777777" w:rsidR="00C613E9" w:rsidRDefault="00C613E9"/>
    <w:sectPr w:rsidR="00C613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CB"/>
    <w:rsid w:val="00C613E9"/>
    <w:rsid w:val="00D042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3037"/>
  <w15:chartTrackingRefBased/>
  <w15:docId w15:val="{894263DB-DAE8-44A0-A74F-5A6043E5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D042CB"/>
    <w:pPr>
      <w:spacing w:before="100" w:beforeAutospacing="1" w:after="100" w:afterAutospacing="1" w:line="240" w:lineRule="auto"/>
      <w:ind w:firstLine="0"/>
      <w:jc w:val="left"/>
    </w:pPr>
    <w:rPr>
      <w:rFonts w:ascii="Times New Roman" w:eastAsia="Times New Roman" w:hAnsi="Times New Roman" w:cs="Times New Roman"/>
      <w:sz w:val="24"/>
      <w:szCs w:val="24"/>
      <w:lang w:eastAsia="es-CO"/>
    </w:rPr>
  </w:style>
  <w:style w:type="character" w:customStyle="1" w:styleId="baj">
    <w:name w:val="b_aj"/>
    <w:basedOn w:val="Fuentedeprrafopredeter"/>
    <w:rsid w:val="00D042CB"/>
  </w:style>
  <w:style w:type="character" w:styleId="Hipervnculo">
    <w:name w:val="Hyperlink"/>
    <w:basedOn w:val="Fuentedeprrafopredeter"/>
    <w:uiPriority w:val="99"/>
    <w:semiHidden/>
    <w:unhideWhenUsed/>
    <w:rsid w:val="00D042CB"/>
    <w:rPr>
      <w:color w:val="0000FF"/>
      <w:u w:val="single"/>
    </w:rPr>
  </w:style>
  <w:style w:type="paragraph" w:styleId="NormalWeb">
    <w:name w:val="Normal (Web)"/>
    <w:basedOn w:val="Normal"/>
    <w:uiPriority w:val="99"/>
    <w:semiHidden/>
    <w:unhideWhenUsed/>
    <w:rsid w:val="00D042CB"/>
    <w:pPr>
      <w:spacing w:before="100" w:beforeAutospacing="1" w:after="100" w:afterAutospacing="1" w:line="240" w:lineRule="auto"/>
      <w:ind w:firstLine="0"/>
      <w:jc w:val="left"/>
    </w:pPr>
    <w:rPr>
      <w:rFonts w:ascii="Times New Roman" w:eastAsia="Times New Roman" w:hAnsi="Times New Roman" w:cs="Times New Roman"/>
      <w:sz w:val="24"/>
      <w:szCs w:val="24"/>
      <w:lang w:eastAsia="es-CO"/>
    </w:rPr>
  </w:style>
  <w:style w:type="character" w:customStyle="1" w:styleId="iaj">
    <w:name w:val="i_aj"/>
    <w:basedOn w:val="Fuentedeprrafopredeter"/>
    <w:rsid w:val="00D0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cretariasenado.gov.co/senado/basedoc/ley_1757_2015.html" TargetMode="External"/><Relationship Id="rId21" Type="http://schemas.openxmlformats.org/officeDocument/2006/relationships/hyperlink" Target="javascript:insRow9()" TargetMode="External"/><Relationship Id="rId34" Type="http://schemas.openxmlformats.org/officeDocument/2006/relationships/hyperlink" Target="http://www.secretariasenado.gov.co/senado/basedoc/ley_1757_2015.html" TargetMode="External"/><Relationship Id="rId42" Type="http://schemas.openxmlformats.org/officeDocument/2006/relationships/hyperlink" Target="http://www.secretariasenado.gov.co/senado/basedoc/ley_1757_2015.html" TargetMode="External"/><Relationship Id="rId47" Type="http://schemas.openxmlformats.org/officeDocument/2006/relationships/hyperlink" Target="http://www.secretariasenado.gov.co/senado/basedoc/ley_1757_2015.html" TargetMode="External"/><Relationship Id="rId50" Type="http://schemas.openxmlformats.org/officeDocument/2006/relationships/hyperlink" Target="javascript:insRow23()" TargetMode="External"/><Relationship Id="rId55" Type="http://schemas.openxmlformats.org/officeDocument/2006/relationships/hyperlink" Target="javascript:insRow25()" TargetMode="External"/><Relationship Id="rId63" Type="http://schemas.openxmlformats.org/officeDocument/2006/relationships/hyperlink" Target="http://www.secretariasenado.gov.co/senado/basedoc/ley_1757_2015.html" TargetMode="External"/><Relationship Id="rId68" Type="http://schemas.openxmlformats.org/officeDocument/2006/relationships/hyperlink" Target="javascript:insRow32()" TargetMode="External"/><Relationship Id="rId76" Type="http://schemas.openxmlformats.org/officeDocument/2006/relationships/hyperlink" Target="javascript:insRow36()" TargetMode="External"/><Relationship Id="rId84" Type="http://schemas.openxmlformats.org/officeDocument/2006/relationships/hyperlink" Target="http://www.secretariasenado.gov.co/senado/basedoc/ley_1757_2015.html" TargetMode="External"/><Relationship Id="rId89" Type="http://schemas.openxmlformats.org/officeDocument/2006/relationships/hyperlink" Target="http://www.secretariasenado.gov.co/senado/basedoc/ley_1757_2015.html" TargetMode="External"/><Relationship Id="rId97" Type="http://schemas.openxmlformats.org/officeDocument/2006/relationships/hyperlink" Target="http://www.secretariasenado.gov.co/senado/basedoc/ley_1757_2015.html" TargetMode="External"/><Relationship Id="rId7" Type="http://schemas.openxmlformats.org/officeDocument/2006/relationships/hyperlink" Target="http://www.secretariasenado.gov.co/senado/basedoc/ley_1757_2015.html#top" TargetMode="External"/><Relationship Id="rId71" Type="http://schemas.openxmlformats.org/officeDocument/2006/relationships/hyperlink" Target="http://www.secretariasenado.gov.co/senado/basedoc/ley_1757_2015.html" TargetMode="External"/><Relationship Id="rId92" Type="http://schemas.openxmlformats.org/officeDocument/2006/relationships/hyperlink" Target="javascript:insRow42()" TargetMode="External"/><Relationship Id="rId2" Type="http://schemas.openxmlformats.org/officeDocument/2006/relationships/settings" Target="settings.xml"/><Relationship Id="rId16" Type="http://schemas.openxmlformats.org/officeDocument/2006/relationships/hyperlink" Target="http://www.secretariasenado.gov.co/senado/basedoc/ley_1757_2015.html" TargetMode="External"/><Relationship Id="rId29" Type="http://schemas.openxmlformats.org/officeDocument/2006/relationships/hyperlink" Target="javascript:insRow13()" TargetMode="External"/><Relationship Id="rId11" Type="http://schemas.openxmlformats.org/officeDocument/2006/relationships/hyperlink" Target="javascript:insRow4()" TargetMode="External"/><Relationship Id="rId24" Type="http://schemas.openxmlformats.org/officeDocument/2006/relationships/hyperlink" Target="javascript:insRow11()" TargetMode="External"/><Relationship Id="rId32" Type="http://schemas.openxmlformats.org/officeDocument/2006/relationships/hyperlink" Target="http://www.secretariasenado.gov.co/senado/basedoc/ley_1757_2015.html" TargetMode="External"/><Relationship Id="rId37" Type="http://schemas.openxmlformats.org/officeDocument/2006/relationships/hyperlink" Target="javascript:insRow17()" TargetMode="External"/><Relationship Id="rId40" Type="http://schemas.openxmlformats.org/officeDocument/2006/relationships/hyperlink" Target="http://www.secretariasenado.gov.co/senado/basedoc/ley_1757_2015.html" TargetMode="External"/><Relationship Id="rId45" Type="http://schemas.openxmlformats.org/officeDocument/2006/relationships/hyperlink" Target="javascript:insRow21()" TargetMode="External"/><Relationship Id="rId53" Type="http://schemas.openxmlformats.org/officeDocument/2006/relationships/hyperlink" Target="javascript:insRow24()" TargetMode="External"/><Relationship Id="rId58" Type="http://schemas.openxmlformats.org/officeDocument/2006/relationships/hyperlink" Target="javascript:insRow27()" TargetMode="External"/><Relationship Id="rId66" Type="http://schemas.openxmlformats.org/officeDocument/2006/relationships/hyperlink" Target="javascript:insRow31()" TargetMode="External"/><Relationship Id="rId74" Type="http://schemas.openxmlformats.org/officeDocument/2006/relationships/hyperlink" Target="javascript:insRow35()" TargetMode="External"/><Relationship Id="rId79" Type="http://schemas.openxmlformats.org/officeDocument/2006/relationships/hyperlink" Target="http://www.secretariasenado.gov.co/senado/basedoc/ley_1757_2015.html" TargetMode="External"/><Relationship Id="rId87" Type="http://schemas.openxmlformats.org/officeDocument/2006/relationships/hyperlink" Target="http://www.secretariasenado.gov.co/senado/basedoc/ley_1757_2015.html" TargetMode="External"/><Relationship Id="rId102" Type="http://schemas.openxmlformats.org/officeDocument/2006/relationships/theme" Target="theme/theme1.xml"/><Relationship Id="rId5" Type="http://schemas.openxmlformats.org/officeDocument/2006/relationships/hyperlink" Target="javascript:insRow2()" TargetMode="External"/><Relationship Id="rId61" Type="http://schemas.openxmlformats.org/officeDocument/2006/relationships/hyperlink" Target="http://www.secretariasenado.gov.co/senado/basedoc/ley_1757_2015.html" TargetMode="External"/><Relationship Id="rId82" Type="http://schemas.openxmlformats.org/officeDocument/2006/relationships/hyperlink" Target="http://www.secretariasenado.gov.co/senado/basedoc/ley_1757_2015.html" TargetMode="External"/><Relationship Id="rId90" Type="http://schemas.openxmlformats.org/officeDocument/2006/relationships/hyperlink" Target="javascript:insRow41()" TargetMode="External"/><Relationship Id="rId95" Type="http://schemas.openxmlformats.org/officeDocument/2006/relationships/hyperlink" Target="http://www.secretariasenado.gov.co/senado/basedoc/ley_1757_2015.html" TargetMode="External"/><Relationship Id="rId19" Type="http://schemas.openxmlformats.org/officeDocument/2006/relationships/hyperlink" Target="javascript:insRow8()" TargetMode="External"/><Relationship Id="rId14" Type="http://schemas.openxmlformats.org/officeDocument/2006/relationships/hyperlink" Target="http://www.secretariasenado.gov.co/senado/basedoc/ley_1757_2015.html" TargetMode="External"/><Relationship Id="rId22" Type="http://schemas.openxmlformats.org/officeDocument/2006/relationships/hyperlink" Target="javascript:insRow10()" TargetMode="External"/><Relationship Id="rId27" Type="http://schemas.openxmlformats.org/officeDocument/2006/relationships/hyperlink" Target="javascript:insRow12()" TargetMode="External"/><Relationship Id="rId30" Type="http://schemas.openxmlformats.org/officeDocument/2006/relationships/hyperlink" Target="http://www.secretariasenado.gov.co/senado/basedoc/ley_1757_2015.html" TargetMode="External"/><Relationship Id="rId35" Type="http://schemas.openxmlformats.org/officeDocument/2006/relationships/hyperlink" Target="javascript:insRow16()" TargetMode="External"/><Relationship Id="rId43" Type="http://schemas.openxmlformats.org/officeDocument/2006/relationships/hyperlink" Target="http://www.secretariasenado.gov.co/senado/basedoc/ley_1757_2015.html" TargetMode="External"/><Relationship Id="rId48" Type="http://schemas.openxmlformats.org/officeDocument/2006/relationships/hyperlink" Target="javascript:insRow22()" TargetMode="External"/><Relationship Id="rId56" Type="http://schemas.openxmlformats.org/officeDocument/2006/relationships/hyperlink" Target="javascript:insRow26()" TargetMode="External"/><Relationship Id="rId64" Type="http://schemas.openxmlformats.org/officeDocument/2006/relationships/hyperlink" Target="javascript:insRow30()" TargetMode="External"/><Relationship Id="rId69" Type="http://schemas.openxmlformats.org/officeDocument/2006/relationships/hyperlink" Target="http://www.secretariasenado.gov.co/senado/basedoc/ley_1757_2015.html" TargetMode="External"/><Relationship Id="rId77" Type="http://schemas.openxmlformats.org/officeDocument/2006/relationships/hyperlink" Target="http://www.secretariasenado.gov.co/senado/basedoc/ley_1757_2015.html" TargetMode="External"/><Relationship Id="rId100" Type="http://schemas.openxmlformats.org/officeDocument/2006/relationships/hyperlink" Target="http://www.secretariasenado.gov.co/senado/basedoc/ley_1757_2015.html" TargetMode="External"/><Relationship Id="rId8" Type="http://schemas.openxmlformats.org/officeDocument/2006/relationships/image" Target="media/image1.jpeg"/><Relationship Id="rId51" Type="http://schemas.openxmlformats.org/officeDocument/2006/relationships/hyperlink" Target="http://www.secretariasenado.gov.co/senado/basedoc/ley_1757_2015.html" TargetMode="External"/><Relationship Id="rId72" Type="http://schemas.openxmlformats.org/officeDocument/2006/relationships/hyperlink" Target="javascript:insRow34()" TargetMode="External"/><Relationship Id="rId80" Type="http://schemas.openxmlformats.org/officeDocument/2006/relationships/hyperlink" Target="javascript:insRow37()" TargetMode="External"/><Relationship Id="rId85" Type="http://schemas.openxmlformats.org/officeDocument/2006/relationships/hyperlink" Target="javascript:insRow39()" TargetMode="External"/><Relationship Id="rId93" Type="http://schemas.openxmlformats.org/officeDocument/2006/relationships/hyperlink" Target="http://www.secretariasenado.gov.co/senado/basedoc/ley_1757_2015.html" TargetMode="External"/><Relationship Id="rId98" Type="http://schemas.openxmlformats.org/officeDocument/2006/relationships/hyperlink" Target="javascript:insRow45()" TargetMode="External"/><Relationship Id="rId3" Type="http://schemas.openxmlformats.org/officeDocument/2006/relationships/webSettings" Target="webSettings.xml"/><Relationship Id="rId12" Type="http://schemas.openxmlformats.org/officeDocument/2006/relationships/hyperlink" Target="http://www.secretariasenado.gov.co/senado/basedoc/ley_1757_2015.html" TargetMode="External"/><Relationship Id="rId17" Type="http://schemas.openxmlformats.org/officeDocument/2006/relationships/hyperlink" Target="javascript:insRow7()" TargetMode="External"/><Relationship Id="rId25" Type="http://schemas.openxmlformats.org/officeDocument/2006/relationships/hyperlink" Target="http://www.secretariasenado.gov.co/senado/basedoc/ley_1757_2015.html" TargetMode="External"/><Relationship Id="rId33" Type="http://schemas.openxmlformats.org/officeDocument/2006/relationships/hyperlink" Target="javascript:insRow15()" TargetMode="External"/><Relationship Id="rId38" Type="http://schemas.openxmlformats.org/officeDocument/2006/relationships/hyperlink" Target="http://www.secretariasenado.gov.co/senado/basedoc/ley_1757_2015.html" TargetMode="External"/><Relationship Id="rId46" Type="http://schemas.openxmlformats.org/officeDocument/2006/relationships/hyperlink" Target="http://www.secretariasenado.gov.co/senado/basedoc/ley_1757_2015.html" TargetMode="External"/><Relationship Id="rId59" Type="http://schemas.openxmlformats.org/officeDocument/2006/relationships/hyperlink" Target="http://www.secretariasenado.gov.co/senado/basedoc/ley_1757_2015.html" TargetMode="External"/><Relationship Id="rId67" Type="http://schemas.openxmlformats.org/officeDocument/2006/relationships/hyperlink" Target="http://www.secretariasenado.gov.co/senado/basedoc/ley_1757_2015.html" TargetMode="External"/><Relationship Id="rId20" Type="http://schemas.openxmlformats.org/officeDocument/2006/relationships/hyperlink" Target="http://www.secretariasenado.gov.co/senado/basedoc/ley_1757_2015.html" TargetMode="External"/><Relationship Id="rId41" Type="http://schemas.openxmlformats.org/officeDocument/2006/relationships/hyperlink" Target="javascript:insRow19()" TargetMode="External"/><Relationship Id="rId54" Type="http://schemas.openxmlformats.org/officeDocument/2006/relationships/hyperlink" Target="http://www.secretariasenado.gov.co/senado/basedoc/ley_1757_2015.html" TargetMode="External"/><Relationship Id="rId62" Type="http://schemas.openxmlformats.org/officeDocument/2006/relationships/hyperlink" Target="javascript:insRow29()" TargetMode="External"/><Relationship Id="rId70" Type="http://schemas.openxmlformats.org/officeDocument/2006/relationships/hyperlink" Target="javascript:insRow33()" TargetMode="External"/><Relationship Id="rId75" Type="http://schemas.openxmlformats.org/officeDocument/2006/relationships/hyperlink" Target="http://www.secretariasenado.gov.co/senado/basedoc/ley_1757_2015.html" TargetMode="External"/><Relationship Id="rId83" Type="http://schemas.openxmlformats.org/officeDocument/2006/relationships/hyperlink" Target="javascript:insRow38()" TargetMode="External"/><Relationship Id="rId88" Type="http://schemas.openxmlformats.org/officeDocument/2006/relationships/hyperlink" Target="javascript:insRow40()" TargetMode="External"/><Relationship Id="rId91" Type="http://schemas.openxmlformats.org/officeDocument/2006/relationships/hyperlink" Target="http://www.secretariasenado.gov.co/senado/basedoc/ley_1757_2015.html" TargetMode="External"/><Relationship Id="rId96" Type="http://schemas.openxmlformats.org/officeDocument/2006/relationships/hyperlink" Target="javascript:insRow44()" TargetMode="External"/><Relationship Id="rId1" Type="http://schemas.openxmlformats.org/officeDocument/2006/relationships/styles" Target="styles.xml"/><Relationship Id="rId6" Type="http://schemas.openxmlformats.org/officeDocument/2006/relationships/hyperlink" Target="http://www.secretariasenado.gov.co/senado/basedoc/ley_1757_2015.html" TargetMode="External"/><Relationship Id="rId15" Type="http://schemas.openxmlformats.org/officeDocument/2006/relationships/hyperlink" Target="javascript:insRow6()" TargetMode="External"/><Relationship Id="rId23" Type="http://schemas.openxmlformats.org/officeDocument/2006/relationships/hyperlink" Target="http://www.secretariasenado.gov.co/senado/basedoc/ley_1757_2015.html" TargetMode="External"/><Relationship Id="rId28" Type="http://schemas.openxmlformats.org/officeDocument/2006/relationships/hyperlink" Target="http://www.secretariasenado.gov.co/senado/basedoc/ley_1757_2015.html" TargetMode="External"/><Relationship Id="rId36" Type="http://schemas.openxmlformats.org/officeDocument/2006/relationships/hyperlink" Target="http://www.secretariasenado.gov.co/senado/basedoc/ley_1757_2015.html" TargetMode="External"/><Relationship Id="rId49" Type="http://schemas.openxmlformats.org/officeDocument/2006/relationships/hyperlink" Target="http://www.secretariasenado.gov.co/senado/basedoc/constitucion_politica_1991_pr005.html" TargetMode="External"/><Relationship Id="rId57" Type="http://schemas.openxmlformats.org/officeDocument/2006/relationships/hyperlink" Target="http://www.secretariasenado.gov.co/senado/basedoc/ley_1757_2015.html" TargetMode="External"/><Relationship Id="rId10" Type="http://schemas.openxmlformats.org/officeDocument/2006/relationships/hyperlink" Target="http://www.secretariasenado.gov.co/senado/basedoc/ley_1757_2015.html" TargetMode="External"/><Relationship Id="rId31" Type="http://schemas.openxmlformats.org/officeDocument/2006/relationships/hyperlink" Target="javascript:insRow14()" TargetMode="External"/><Relationship Id="rId44" Type="http://schemas.openxmlformats.org/officeDocument/2006/relationships/hyperlink" Target="javascript:insRow20()" TargetMode="External"/><Relationship Id="rId52" Type="http://schemas.openxmlformats.org/officeDocument/2006/relationships/hyperlink" Target="http://www.secretariasenado.gov.co/senado/basedoc/constitucion_politica_1991_pr012.html" TargetMode="External"/><Relationship Id="rId60" Type="http://schemas.openxmlformats.org/officeDocument/2006/relationships/hyperlink" Target="javascript:insRow28()" TargetMode="External"/><Relationship Id="rId65" Type="http://schemas.openxmlformats.org/officeDocument/2006/relationships/hyperlink" Target="http://www.secretariasenado.gov.co/senado/basedoc/ley_1757_2015.html" TargetMode="External"/><Relationship Id="rId73" Type="http://schemas.openxmlformats.org/officeDocument/2006/relationships/hyperlink" Target="http://www.secretariasenado.gov.co/senado/basedoc/ley_1757_2015.html" TargetMode="External"/><Relationship Id="rId78" Type="http://schemas.openxmlformats.org/officeDocument/2006/relationships/hyperlink" Target="http://www.secretariasenado.gov.co/senado/basedoc/ley_1757_2015.html" TargetMode="External"/><Relationship Id="rId81" Type="http://schemas.openxmlformats.org/officeDocument/2006/relationships/hyperlink" Target="http://www.secretariasenado.gov.co/senado/basedoc/ley_1757_2015.html" TargetMode="External"/><Relationship Id="rId86" Type="http://schemas.openxmlformats.org/officeDocument/2006/relationships/hyperlink" Target="http://www.secretariasenado.gov.co/senado/basedoc/ley_1757_2015.html" TargetMode="External"/><Relationship Id="rId94" Type="http://schemas.openxmlformats.org/officeDocument/2006/relationships/hyperlink" Target="javascript:insRow43()" TargetMode="External"/><Relationship Id="rId99" Type="http://schemas.openxmlformats.org/officeDocument/2006/relationships/hyperlink" Target="javascript:insRow46()" TargetMode="External"/><Relationship Id="rId101" Type="http://schemas.openxmlformats.org/officeDocument/2006/relationships/fontTable" Target="fontTable.xml"/><Relationship Id="rId4" Type="http://schemas.openxmlformats.org/officeDocument/2006/relationships/hyperlink" Target="javascript:insRow1()" TargetMode="External"/><Relationship Id="rId9" Type="http://schemas.openxmlformats.org/officeDocument/2006/relationships/hyperlink" Target="javascript:insRow3()" TargetMode="External"/><Relationship Id="rId13" Type="http://schemas.openxmlformats.org/officeDocument/2006/relationships/hyperlink" Target="javascript:insRow5()" TargetMode="External"/><Relationship Id="rId18" Type="http://schemas.openxmlformats.org/officeDocument/2006/relationships/hyperlink" Target="http://www.secretariasenado.gov.co/senado/basedoc/ley_1757_2015.html" TargetMode="External"/><Relationship Id="rId39" Type="http://schemas.openxmlformats.org/officeDocument/2006/relationships/hyperlink" Target="javascript:insRow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7628</Words>
  <Characters>41954</Characters>
  <Application>Microsoft Office Word</Application>
  <DocSecurity>0</DocSecurity>
  <Lines>349</Lines>
  <Paragraphs>98</Paragraphs>
  <ScaleCrop>false</ScaleCrop>
  <Company/>
  <LinksUpToDate>false</LinksUpToDate>
  <CharactersWithSpaces>49484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2020-10-28T19:51:00Z</dcterms:created>
  <dcterms:modified xsi:type="dcterms:W3CDTF">2020-10-28T19:53:00Z</dcterms:modified>
</cp:coreProperties>
</file>